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湖州市司法局公共法律服务处</w:t>
      </w:r>
      <w:r>
        <w:rPr>
          <w:rFonts w:hint="eastAsia" w:ascii="方正小标宋简体" w:eastAsia="方正小标宋简体"/>
          <w:sz w:val="36"/>
          <w:szCs w:val="36"/>
        </w:rPr>
        <w:t>权力事项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（一）行政处罚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鉴定人或鉴定机构因严重不负责任给当事人合法权益造成重大损失、提供虚假证明文件或者采取其他欺诈手段骗取登记等行为的处罚。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对未经依法登记的机构和人员非法从事司法鉴定业务行为的处罚。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公证机构及其公证员发生私自出具公证书的，为不真实、不合法的事项出具公证书等行为的处罚。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公证机构及其公证员有以诋毁其他公证机构、公证员或者支付回扣、佣金等不正当手段争揽公证业务等行为的处罚。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（二）其他行政权力</w:t>
      </w:r>
      <w:bookmarkStart w:id="0" w:name="_GoBack"/>
      <w:bookmarkEnd w:id="0"/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直属公证机构及负责人的年度考核。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对公证机构、公证员及公证协会的监督。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对司法鉴定机构、司法鉴定人及司法鉴定行业协会的监督。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5D6"/>
    <w:rsid w:val="00355CA7"/>
    <w:rsid w:val="003D6984"/>
    <w:rsid w:val="007704DA"/>
    <w:rsid w:val="00AB68B3"/>
    <w:rsid w:val="00AE05D6"/>
    <w:rsid w:val="00FA10E4"/>
    <w:rsid w:val="054860FB"/>
    <w:rsid w:val="6821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253</Characters>
  <Lines>2</Lines>
  <Paragraphs>1</Paragraphs>
  <TotalTime>14</TotalTime>
  <ScaleCrop>false</ScaleCrop>
  <LinksUpToDate>false</LinksUpToDate>
  <CharactersWithSpaces>296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2019-08-12T03:25:00Z</dcterms:created>
  <dc:creator>user</dc:creator>
  <cp:lastModifiedBy>Hale</cp:lastModifiedBy>
  <dcterms:modified xsi:type="dcterms:W3CDTF">2019-12-03T10:00:05Z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