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cs="Times New Roman"/>
          <w:bCs/>
          <w:sz w:val="32"/>
          <w:szCs w:val="32"/>
        </w:rPr>
      </w:pPr>
    </w:p>
    <w:p>
      <w:pPr>
        <w:spacing w:line="520" w:lineRule="exact"/>
        <w:jc w:val="both"/>
        <w:rPr>
          <w:rFonts w:hint="default" w:ascii="Times New Roman" w:hAnsi="Times New Roman" w:cs="Times New Roman"/>
          <w:bCs/>
          <w:sz w:val="32"/>
          <w:szCs w:val="32"/>
        </w:rPr>
      </w:pPr>
      <w:r>
        <w:rPr>
          <w:rFonts w:hint="default" w:ascii="Times New Roman" w:hAnsi="Times New Roman" w:cs="Times New Roman"/>
        </w:rPr>
        <w:pict>
          <v:shape id="AutoShape 2" o:spid="_x0000_s1026" o:spt="136" type="#_x0000_t136" style="position:absolute;left:0pt;margin-top:5pt;height:48pt;width:320.25pt;mso-position-horizontal:center;z-index:251658240;mso-width-relative:page;mso-height-relative:page;" fillcolor="#FF0000" filled="t" stroked="t" coordsize="21600,21600">
            <v:path/>
            <v:fill on="t" focussize="0,0"/>
            <v:stroke color="#FF0000"/>
            <v:imagedata o:title=""/>
            <o:lock v:ext="edit"/>
            <v:textpath on="t" fitshape="t" fitpath="t" trim="t" xscale="f" string="金融工作简报" style="font-family:方正小标宋简体;font-size:48pt;v-text-align:center;v-text-spacing:78650f;"/>
          </v:shape>
        </w:pict>
      </w:r>
    </w:p>
    <w:p>
      <w:pPr>
        <w:spacing w:line="520" w:lineRule="exact"/>
        <w:ind w:firstLine="0" w:firstLineChars="0"/>
        <w:jc w:val="both"/>
        <w:rPr>
          <w:rFonts w:hint="default" w:ascii="Times New Roman" w:hAnsi="Times New Roman" w:cs="Times New Roman"/>
          <w:bCs/>
          <w:sz w:val="32"/>
          <w:szCs w:val="32"/>
        </w:rPr>
      </w:pPr>
    </w:p>
    <w:p>
      <w:pPr>
        <w:spacing w:line="520" w:lineRule="exact"/>
        <w:ind w:firstLine="640"/>
        <w:jc w:val="both"/>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年第</w:t>
      </w:r>
      <w:r>
        <w:rPr>
          <w:rFonts w:hint="eastAsia" w:cs="Times New Roman"/>
          <w:sz w:val="32"/>
          <w:szCs w:val="32"/>
          <w:lang w:val="en-US" w:eastAsia="zh-CN"/>
        </w:rPr>
        <w:t>6</w:t>
      </w:r>
      <w:r>
        <w:rPr>
          <w:rFonts w:hint="default" w:ascii="Times New Roman" w:hAnsi="Times New Roman" w:cs="Times New Roman"/>
          <w:sz w:val="32"/>
          <w:szCs w:val="32"/>
        </w:rPr>
        <w:t>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rPr>
        <w:t>总第</w:t>
      </w:r>
      <w:r>
        <w:rPr>
          <w:rFonts w:hint="default" w:ascii="Times New Roman" w:hAnsi="Times New Roman" w:cs="Times New Roman"/>
          <w:sz w:val="32"/>
          <w:szCs w:val="32"/>
          <w:lang w:val="en-US" w:eastAsia="zh-CN"/>
        </w:rPr>
        <w:t>5</w:t>
      </w:r>
      <w:r>
        <w:rPr>
          <w:rFonts w:hint="eastAsia" w:cs="Times New Roman"/>
          <w:sz w:val="32"/>
          <w:szCs w:val="32"/>
          <w:lang w:val="en-US" w:eastAsia="zh-CN"/>
        </w:rPr>
        <w:t>5</w:t>
      </w:r>
      <w:r>
        <w:rPr>
          <w:rFonts w:hint="default" w:ascii="Times New Roman" w:hAnsi="Times New Roman" w:cs="Times New Roman"/>
          <w:sz w:val="32"/>
          <w:szCs w:val="32"/>
        </w:rPr>
        <w:t>期</w:t>
      </w:r>
      <w:r>
        <w:rPr>
          <w:rFonts w:hint="default" w:ascii="Times New Roman" w:hAnsi="Times New Roman" w:cs="Times New Roman"/>
          <w:sz w:val="32"/>
          <w:szCs w:val="32"/>
          <w:lang w:eastAsia="zh-CN"/>
        </w:rPr>
        <w:t>）</w:t>
      </w:r>
    </w:p>
    <w:p>
      <w:pPr>
        <w:spacing w:line="520" w:lineRule="exact"/>
        <w:ind w:firstLine="640"/>
        <w:jc w:val="both"/>
        <w:rPr>
          <w:rFonts w:hint="default" w:ascii="Times New Roman" w:hAnsi="Times New Roman" w:cs="Times New Roman"/>
          <w:sz w:val="32"/>
          <w:szCs w:val="32"/>
        </w:rPr>
      </w:pPr>
    </w:p>
    <w:p>
      <w:pPr>
        <w:spacing w:line="520" w:lineRule="exact"/>
        <w:ind w:right="300" w:rightChars="100" w:firstLine="160" w:firstLineChars="50"/>
        <w:jc w:val="both"/>
        <w:rPr>
          <w:rFonts w:hint="default" w:ascii="Times New Roman" w:hAnsi="Times New Roman" w:cs="Times New Roman"/>
          <w:sz w:val="32"/>
          <w:szCs w:val="32"/>
        </w:rPr>
      </w:pPr>
      <w:r>
        <w:rPr>
          <w:rFonts w:hint="default" w:ascii="Times New Roman" w:hAnsi="Times New Roman" w:cs="Times New Roman"/>
          <w:sz w:val="32"/>
          <w:szCs w:val="32"/>
        </w:rPr>
        <w:t xml:space="preserve">湖州市金融工作办公室           </w:t>
      </w:r>
      <w:r>
        <w:rPr>
          <w:rFonts w:hint="eastAsia" w:cs="Times New Roman"/>
          <w:sz w:val="32"/>
          <w:szCs w:val="32"/>
          <w:lang w:val="en-US" w:eastAsia="zh-CN"/>
        </w:rPr>
        <w:t xml:space="preserve">  </w:t>
      </w:r>
      <w:r>
        <w:rPr>
          <w:rFonts w:hint="default" w:ascii="Times New Roman" w:hAnsi="Times New Roman"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w:t>
      </w:r>
      <w:r>
        <w:rPr>
          <w:rFonts w:hint="eastAsia" w:cs="Times New Roman"/>
          <w:sz w:val="32"/>
          <w:szCs w:val="32"/>
          <w:lang w:val="en-US" w:eastAsia="zh-CN"/>
        </w:rPr>
        <w:t>7</w:t>
      </w:r>
      <w:r>
        <w:rPr>
          <w:rFonts w:hint="default" w:ascii="Times New Roman" w:hAnsi="Times New Roman" w:cs="Times New Roman"/>
          <w:sz w:val="32"/>
          <w:szCs w:val="32"/>
        </w:rPr>
        <w:t>月</w:t>
      </w:r>
      <w:r>
        <w:rPr>
          <w:rFonts w:hint="eastAsia" w:cs="Times New Roman"/>
          <w:sz w:val="32"/>
          <w:szCs w:val="32"/>
          <w:lang w:val="en-US" w:eastAsia="zh-CN"/>
        </w:rPr>
        <w:t>2</w:t>
      </w:r>
      <w:r>
        <w:rPr>
          <w:rFonts w:hint="default" w:ascii="Times New Roman" w:hAnsi="Times New Roman" w:cs="Times New Roman"/>
          <w:sz w:val="32"/>
          <w:szCs w:val="32"/>
        </w:rPr>
        <w:t>日</w:t>
      </w:r>
    </w:p>
    <w:p>
      <w:pPr>
        <w:pStyle w:val="15"/>
        <w:keepNext/>
        <w:keepLines/>
        <w:pageBreakBefore w:val="0"/>
        <w:widowControl/>
        <w:kinsoku/>
        <w:wordWrap/>
        <w:overflowPunct/>
        <w:topLinePunct w:val="0"/>
        <w:autoSpaceDE/>
        <w:autoSpaceDN/>
        <w:bidi w:val="0"/>
        <w:adjustRightInd/>
        <w:snapToGrid/>
        <w:spacing w:before="313" w:beforeLines="100" w:after="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color w:val="auto"/>
          <w:sz w:val="44"/>
          <w:szCs w:val="44"/>
          <w:lang w:val="zh-C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16510</wp:posOffset>
                </wp:positionV>
                <wp:extent cx="5221605" cy="8890"/>
                <wp:effectExtent l="0" t="0" r="0" b="0"/>
                <wp:wrapNone/>
                <wp:docPr id="3" name="Line 3"/>
                <wp:cNvGraphicFramePr/>
                <a:graphic xmlns:a="http://schemas.openxmlformats.org/drawingml/2006/main">
                  <a:graphicData uri="http://schemas.microsoft.com/office/word/2010/wordprocessingShape">
                    <wps:wsp>
                      <wps:cNvCnPr/>
                      <wps:spPr>
                        <a:xfrm flipV="1">
                          <a:off x="0" y="0"/>
                          <a:ext cx="5221605" cy="88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6pt;margin-top:1.3pt;height:0.7pt;width:411.15pt;z-index:251658240;mso-width-relative:page;mso-height-relative:page;" filled="f" stroked="t" coordsize="21600,21600" o:gfxdata="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&#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TptqHWAAAABgEAAA8AAAAAAAAAAQAgAAAAIgAAAGRy&#10;cy9kb3ducmV2LnhtbFBLAQIUABQAAAAIAIdO4kDxdLpCzgEAAJkDAAAOAAAAAAAAAAEAIAAAACUB&#10;AABkcnMvZTJvRG9jLnhtbFBLBQYAAAAABgAGAFkBAABlBQAAAAA=&#10;">
                <v:fill on="f" focussize="0,0"/>
                <v:stroke weight="3pt" color="#FF0000" joinstyle="round"/>
                <v:imagedata o:title=""/>
                <o:lock v:ext="edit" aspectratio="f"/>
              </v:line>
            </w:pict>
          </mc:Fallback>
        </mc:AlternateContent>
      </w:r>
      <w:r>
        <w:rPr>
          <w:rFonts w:hint="default" w:ascii="Times New Roman" w:hAnsi="Times New Roman" w:eastAsia="方正小标宋简体" w:cs="Times New Roman"/>
          <w:b w:val="0"/>
          <w:color w:val="auto"/>
          <w:sz w:val="44"/>
          <w:szCs w:val="44"/>
          <w:lang w:val="zh-CN"/>
        </w:rPr>
        <w:t>目</w:t>
      </w:r>
      <w:r>
        <w:rPr>
          <w:rFonts w:hint="default" w:ascii="Times New Roman" w:hAnsi="Times New Roman" w:eastAsia="方正小标宋简体" w:cs="Times New Roman"/>
          <w:b w:val="0"/>
          <w:color w:val="auto"/>
          <w:sz w:val="44"/>
          <w:szCs w:val="44"/>
          <w:lang w:val="en-US" w:eastAsia="zh-CN"/>
        </w:rPr>
        <w:t xml:space="preserve"> </w:t>
      </w:r>
      <w:r>
        <w:rPr>
          <w:rFonts w:hint="default" w:ascii="Times New Roman" w:hAnsi="Times New Roman" w:eastAsia="方正小标宋简体" w:cs="Times New Roman"/>
          <w:b w:val="0"/>
          <w:color w:val="auto"/>
          <w:sz w:val="44"/>
          <w:szCs w:val="44"/>
          <w:lang w:val="zh-CN"/>
        </w:rPr>
        <w:t>录</w:t>
      </w:r>
    </w:p>
    <w:p>
      <w:pPr>
        <w:pStyle w:val="5"/>
        <w:tabs>
          <w:tab w:val="right" w:leader="dot" w:pos="8306"/>
          <w:tab w:val="clear" w:pos="8296"/>
        </w:tabs>
      </w:pPr>
      <w:r>
        <w:rPr>
          <w:rFonts w:hint="default" w:ascii="Times New Roman" w:hAnsi="Times New Roman" w:eastAsia="仿宋_GB2312" w:cs="Times New Roman"/>
          <w:b w:val="0"/>
          <w:color w:val="auto"/>
          <w:sz w:val="44"/>
          <w:szCs w:val="44"/>
          <w:lang w:val="zh-CN"/>
        </w:rPr>
        <w:fldChar w:fldCharType="begin"/>
      </w:r>
      <w:r>
        <w:rPr>
          <w:rFonts w:hint="default" w:ascii="Times New Roman" w:hAnsi="Times New Roman" w:eastAsia="仿宋_GB2312" w:cs="Times New Roman"/>
          <w:b w:val="0"/>
          <w:color w:val="auto"/>
          <w:sz w:val="44"/>
          <w:szCs w:val="44"/>
          <w:lang w:val="zh-CN"/>
        </w:rPr>
        <w:instrText xml:space="preserve">TOC \o "1-3" \h \u </w:instrText>
      </w:r>
      <w:r>
        <w:rPr>
          <w:rFonts w:hint="default" w:ascii="Times New Roman" w:hAnsi="Times New Roman" w:eastAsia="仿宋_GB2312" w:cs="Times New Roman"/>
          <w:b w:val="0"/>
          <w:color w:val="auto"/>
          <w:sz w:val="44"/>
          <w:szCs w:val="44"/>
          <w:lang w:val="zh-CN"/>
        </w:rPr>
        <w:fldChar w:fldCharType="separate"/>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_Toc10081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lang w:val="en-US" w:eastAsia="zh-CN"/>
        </w:rPr>
        <w:t>【金融动态】</w:t>
      </w:r>
      <w:r>
        <w:tab/>
      </w:r>
      <w:r>
        <w:fldChar w:fldCharType="begin"/>
      </w:r>
      <w:r>
        <w:instrText xml:space="preserve"> PAGEREF _Toc10081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_Toc12604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●项乐民副市长一行调研市金融办工作</w:t>
      </w:r>
      <w:r>
        <w:tab/>
      </w:r>
      <w:r>
        <w:fldChar w:fldCharType="begin"/>
      </w:r>
      <w:r>
        <w:instrText xml:space="preserve"> PAGEREF _Toc12604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_Toc1961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●绿色金融改革创新试验区建设座谈会在湖召开</w:t>
      </w:r>
      <w:r>
        <w:tab/>
      </w:r>
      <w:r>
        <w:fldChar w:fldCharType="begin"/>
      </w:r>
      <w:r>
        <w:instrText xml:space="preserve"> PAGEREF _Toc1961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_Toc2266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湖州市资本与项目第二次对接会成功举办</w:t>
      </w:r>
      <w:r>
        <w:tab/>
      </w:r>
      <w:r>
        <w:fldChar w:fldCharType="begin"/>
      </w:r>
      <w:r>
        <w:instrText xml:space="preserve"> PAGEREF _Toc2266 </w:instrText>
      </w:r>
      <w:r>
        <w:fldChar w:fldCharType="separate"/>
      </w:r>
      <w:r>
        <w:t>5</w:t>
      </w:r>
      <w:r>
        <w:fldChar w:fldCharType="end"/>
      </w:r>
      <w:r>
        <w:rPr>
          <w:rFonts w:hint="default" w:ascii="Times New Roman" w:hAnsi="Times New Roman" w:eastAsia="仿宋_GB2312" w:cs="Times New Roman"/>
          <w:color w:val="auto"/>
          <w:szCs w:val="44"/>
          <w:lang w:val="zh-CN"/>
        </w:rPr>
        <w:fldChar w:fldCharType="end"/>
      </w:r>
    </w:p>
    <w:p>
      <w:pPr>
        <w:pStyle w:val="5"/>
        <w:tabs>
          <w:tab w:val="right" w:leader="dot" w:pos="8306"/>
          <w:tab w:val="clear" w:pos="8296"/>
        </w:tabs>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_Toc5775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【金融发展】</w:t>
      </w:r>
      <w:r>
        <w:tab/>
      </w:r>
      <w:r>
        <w:fldChar w:fldCharType="begin"/>
      </w:r>
      <w:r>
        <w:instrText xml:space="preserve"> PAGEREF _Toc5775 </w:instrText>
      </w:r>
      <w:r>
        <w:fldChar w:fldCharType="separate"/>
      </w:r>
      <w:r>
        <w:t>6</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300" w:leftChars="0" w:hanging="300" w:hangingChars="10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_Toc7558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highlight w:val="none"/>
        </w:rPr>
        <w:t>●</w:t>
      </w:r>
      <w:r>
        <w:rPr>
          <w:rFonts w:hint="default" w:ascii="Times New Roman" w:hAnsi="Times New Roman" w:cs="Times New Roman"/>
          <w:highlight w:val="none"/>
          <w:lang w:eastAsia="zh-CN"/>
        </w:rPr>
        <w:t>我</w:t>
      </w:r>
      <w:r>
        <w:rPr>
          <w:rFonts w:hint="default" w:ascii="Times New Roman" w:hAnsi="Times New Roman" w:cs="Times New Roman"/>
          <w:highlight w:val="none"/>
        </w:rPr>
        <w:t>市落实“凤凰行动”计划 推进多层次资本市场建设的主要做法</w:t>
      </w:r>
      <w:r>
        <w:tab/>
      </w:r>
      <w:r>
        <w:fldChar w:fldCharType="begin"/>
      </w:r>
      <w:r>
        <w:instrText xml:space="preserve"> PAGEREF _Toc7558 </w:instrText>
      </w:r>
      <w:r>
        <w:fldChar w:fldCharType="separate"/>
      </w:r>
      <w:r>
        <w:t>6</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_Toc3213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highlight w:val="none"/>
        </w:rPr>
        <w:t>●安吉县做好绿色金融“三篇文章”</w:t>
      </w:r>
      <w:r>
        <w:rPr>
          <w:rFonts w:hint="eastAsia" w:eastAsia="方正小标宋简体" w:cs="Times New Roman"/>
          <w:highlight w:val="none"/>
          <w:lang w:val="en-US" w:eastAsia="zh-CN"/>
        </w:rPr>
        <w:t xml:space="preserve"> </w:t>
      </w:r>
      <w:r>
        <w:rPr>
          <w:rFonts w:hint="default" w:ascii="Times New Roman" w:hAnsi="Times New Roman" w:cs="Times New Roman"/>
          <w:highlight w:val="none"/>
        </w:rPr>
        <w:t>助推“乡村振兴”</w:t>
      </w:r>
      <w:r>
        <w:tab/>
      </w:r>
      <w:r>
        <w:fldChar w:fldCharType="begin"/>
      </w:r>
      <w:r>
        <w:instrText xml:space="preserve"> PAGEREF _Toc3213 </w:instrText>
      </w:r>
      <w:r>
        <w:fldChar w:fldCharType="separate"/>
      </w:r>
      <w:r>
        <w:t>8</w:t>
      </w:r>
      <w:r>
        <w:fldChar w:fldCharType="end"/>
      </w:r>
      <w:r>
        <w:rPr>
          <w:rFonts w:hint="default" w:ascii="Times New Roman" w:hAnsi="Times New Roman" w:eastAsia="仿宋_GB2312" w:cs="Times New Roman"/>
          <w:color w:val="auto"/>
          <w:szCs w:val="44"/>
          <w:lang w:val="zh-CN"/>
        </w:rPr>
        <w:fldChar w:fldCharType="end"/>
      </w:r>
    </w:p>
    <w:p>
      <w:pPr>
        <w:pStyle w:val="5"/>
        <w:tabs>
          <w:tab w:val="right" w:leader="dot" w:pos="8306"/>
          <w:tab w:val="clear" w:pos="8296"/>
        </w:tabs>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_Toc14121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【金融机构】</w:t>
      </w:r>
      <w:r>
        <w:tab/>
      </w:r>
      <w:r>
        <w:fldChar w:fldCharType="begin"/>
      </w:r>
      <w:r>
        <w:instrText xml:space="preserve"> PAGEREF _Toc14121 </w:instrText>
      </w:r>
      <w:r>
        <w:fldChar w:fldCharType="separate"/>
      </w:r>
      <w:r>
        <w:t>10</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_Toc1518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●农发行信贷支农成效显著</w:t>
      </w:r>
      <w:r>
        <w:tab/>
      </w:r>
      <w:r>
        <w:fldChar w:fldCharType="begin"/>
      </w:r>
      <w:r>
        <w:instrText xml:space="preserve"> PAGEREF _Toc1518 </w:instrText>
      </w:r>
      <w:r>
        <w:fldChar w:fldCharType="separate"/>
      </w:r>
      <w:r>
        <w:t>10</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_Toc19646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交行湖州分行普惠金融亮点纷呈</w:t>
      </w:r>
      <w:r>
        <w:tab/>
      </w:r>
      <w:r>
        <w:fldChar w:fldCharType="begin"/>
      </w:r>
      <w:r>
        <w:instrText xml:space="preserve"> PAGEREF _Toc19646 </w:instrText>
      </w:r>
      <w:r>
        <w:fldChar w:fldCharType="separate"/>
      </w:r>
      <w:r>
        <w:t>10</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_Toc16931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安吉农商行</w:t>
      </w:r>
      <w:r>
        <w:rPr>
          <w:rFonts w:hint="default" w:ascii="Times New Roman" w:hAnsi="Times New Roman" w:cs="Times New Roman"/>
          <w:lang w:eastAsia="zh-CN"/>
        </w:rPr>
        <w:t>全国首创银行卡积分垃圾分类回收平台</w:t>
      </w:r>
      <w:r>
        <w:tab/>
      </w:r>
      <w:r>
        <w:fldChar w:fldCharType="begin"/>
      </w:r>
      <w:r>
        <w:instrText xml:space="preserve"> PAGEREF _Toc16931 </w:instrText>
      </w:r>
      <w:r>
        <w:fldChar w:fldCharType="separate"/>
      </w:r>
      <w:r>
        <w:t>11</w:t>
      </w:r>
      <w:r>
        <w:fldChar w:fldCharType="end"/>
      </w:r>
      <w:r>
        <w:rPr>
          <w:rFonts w:hint="default" w:ascii="Times New Roman" w:hAnsi="Times New Roman" w:eastAsia="仿宋_GB2312" w:cs="Times New Roman"/>
          <w:color w:val="auto"/>
          <w:szCs w:val="44"/>
          <w:lang w:val="zh-CN"/>
        </w:rPr>
        <w:fldChar w:fldCharType="end"/>
      </w:r>
    </w:p>
    <w:p>
      <w:pPr>
        <w:pStyle w:val="15"/>
        <w:pageBreakBefore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szCs w:val="44"/>
          <w:lang w:val="zh-CN"/>
        </w:rPr>
        <w:fldChar w:fldCharType="end"/>
      </w:r>
      <w:r>
        <w:rPr>
          <w:rFonts w:hint="default" w:ascii="Times New Roman" w:hAnsi="Times New Roman" w:eastAsia="仿宋_GB2312" w:cs="Times New Roman"/>
          <w:b w:val="0"/>
          <w:color w:val="auto"/>
          <w:sz w:val="44"/>
          <w:szCs w:val="44"/>
          <w:lang w:val="zh-CN"/>
        </w:rPr>
        <w:br w:type="page"/>
      </w:r>
      <w:bookmarkStart w:id="0" w:name="_Toc12080"/>
      <w:bookmarkStart w:id="1" w:name="_Toc3266"/>
      <w:bookmarkStart w:id="2" w:name="_Toc21528"/>
      <w:bookmarkStart w:id="3" w:name="_Toc958"/>
      <w:bookmarkStart w:id="4" w:name="_Toc5397"/>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Style w:val="13"/>
          <w:rFonts w:hint="default" w:ascii="Times New Roman" w:hAnsi="Times New Roman" w:cs="Times New Roman"/>
          <w:bCs/>
        </w:rPr>
      </w:pPr>
      <w:bookmarkStart w:id="5" w:name="_Toc11124"/>
      <w:bookmarkStart w:id="6" w:name="_Toc10081"/>
      <w:r>
        <w:rPr>
          <w:rFonts w:hint="default" w:ascii="Times New Roman" w:hAnsi="Times New Roman" w:cs="Times New Roman"/>
          <w:lang w:val="en-US" w:eastAsia="zh-CN"/>
        </w:rPr>
        <w:t>【金融动态】</w:t>
      </w:r>
      <w:bookmarkEnd w:id="0"/>
      <w:bookmarkEnd w:id="1"/>
      <w:bookmarkEnd w:id="2"/>
      <w:bookmarkEnd w:id="3"/>
      <w:bookmarkEnd w:id="4"/>
      <w:bookmarkEnd w:id="5"/>
      <w:bookmarkEnd w:id="6"/>
      <w:bookmarkStart w:id="7" w:name="_Toc26062"/>
      <w:bookmarkStart w:id="8" w:name="_Toc30030"/>
      <w:bookmarkStart w:id="9" w:name="_Toc17631"/>
      <w:bookmarkStart w:id="10" w:name="_Toc25257"/>
      <w:bookmarkStart w:id="11" w:name="_Toc21663"/>
      <w:bookmarkStart w:id="12" w:name="_Toc3139"/>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00" w:firstLineChars="200"/>
        <w:jc w:val="both"/>
        <w:textAlignment w:val="auto"/>
        <w:rPr>
          <w:rFonts w:hint="eastAsia" w:cs="Times New Roman"/>
          <w:highlight w:val="none"/>
          <w:lang w:val="en-US" w:eastAsia="zh-CN"/>
        </w:rPr>
      </w:pPr>
      <w:bookmarkStart w:id="13" w:name="_Toc25973"/>
      <w:bookmarkStart w:id="14" w:name="_Toc29836"/>
      <w:bookmarkStart w:id="15" w:name="_Toc1505"/>
      <w:bookmarkStart w:id="16" w:name="_Toc14700"/>
      <w:bookmarkStart w:id="17" w:name="_Toc17029"/>
      <w:bookmarkStart w:id="18" w:name="_Toc12604"/>
      <w:r>
        <w:rPr>
          <w:rStyle w:val="13"/>
          <w:rFonts w:hint="default" w:ascii="Times New Roman" w:hAnsi="Times New Roman" w:cs="Times New Roman"/>
        </w:rPr>
        <w:t>●项乐民副市长一行调研市金融办工作</w:t>
      </w:r>
      <w:bookmarkEnd w:id="13"/>
      <w:bookmarkEnd w:id="14"/>
      <w:bookmarkEnd w:id="15"/>
      <w:bookmarkEnd w:id="16"/>
      <w:bookmarkEnd w:id="17"/>
      <w:bookmarkEnd w:id="18"/>
      <w:r>
        <w:rPr>
          <w:rFonts w:hint="default" w:ascii="Times New Roman" w:hAnsi="Times New Roman" w:cs="Times New Roman"/>
          <w:b/>
          <w:bCs/>
        </w:rPr>
        <w:t>。</w:t>
      </w:r>
      <w:r>
        <w:rPr>
          <w:rFonts w:hint="eastAsia" w:cs="Times New Roman"/>
          <w:highlight w:val="none"/>
          <w:lang w:val="en-US" w:eastAsia="zh-CN"/>
        </w:rPr>
        <w:t>6月1日下午，市人民政府副市长项乐民一行赴市金融办调研指导工作。市政府副秘书长丁泉观、市金融办领导班子及各处室负责人参加了座谈会。会上，市金融办党组书记、主任钱洪文就面上金融工作总体情况和下一步重点工作安排进行了详细汇报。市金融办副主任周昳文、刘一闻分别就上市工作推进情况和“绿贷通”融资对接平台建设情况作了汇报交流。</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00" w:firstLineChars="200"/>
        <w:jc w:val="both"/>
        <w:textAlignment w:val="auto"/>
        <w:rPr>
          <w:rFonts w:hint="default" w:ascii="Times New Roman" w:hAnsi="Times New Roman" w:cs="Times New Roman"/>
          <w:highlight w:val="none"/>
          <w:lang w:eastAsia="zh-CN"/>
        </w:rPr>
      </w:pPr>
      <w:r>
        <w:rPr>
          <w:rFonts w:hint="eastAsia" w:cs="Times New Roman"/>
          <w:highlight w:val="none"/>
          <w:lang w:val="en-US" w:eastAsia="zh-CN"/>
        </w:rPr>
        <w:t>在听取汇报后，项乐民副市长对近年来金融工作所取得的成绩表示充分肯定和赞扬。他指出我市金融工作势头好、氛围好、成效好，“金融产业旺、绿色金改优、企业上市快、信贷资产好”，要认识到当前金融发展的良好态势，增强信心，以金融的高质量发展推动经济的高质量发展。对于下阶段重点工作，项市长提出五方面要求：</w:t>
      </w:r>
      <w:r>
        <w:rPr>
          <w:rFonts w:hint="eastAsia" w:cs="Times New Roman"/>
          <w:b/>
          <w:bCs/>
          <w:highlight w:val="none"/>
          <w:lang w:val="en-US" w:eastAsia="zh-CN"/>
        </w:rPr>
        <w:t>一是</w:t>
      </w:r>
      <w:r>
        <w:rPr>
          <w:rFonts w:hint="eastAsia" w:cs="Times New Roman"/>
          <w:highlight w:val="none"/>
          <w:lang w:val="en-US" w:eastAsia="zh-CN"/>
        </w:rPr>
        <w:t>围绕服务实体经济这个根本，坚持目标导向，拓宽融资渠道、精准融资服务；</w:t>
      </w:r>
      <w:r>
        <w:rPr>
          <w:rFonts w:hint="eastAsia" w:cs="Times New Roman"/>
          <w:b/>
          <w:bCs/>
          <w:highlight w:val="none"/>
          <w:lang w:val="en-US" w:eastAsia="zh-CN"/>
        </w:rPr>
        <w:t>二是</w:t>
      </w:r>
      <w:r>
        <w:rPr>
          <w:rFonts w:hint="eastAsia" w:cs="Times New Roman"/>
          <w:highlight w:val="none"/>
          <w:lang w:val="en-US" w:eastAsia="zh-CN"/>
        </w:rPr>
        <w:t>挖掘资本市场这个宝藏，开展高质量股改，抓好上市后备培育，推动企业并购重组；</w:t>
      </w:r>
      <w:r>
        <w:rPr>
          <w:rFonts w:hint="eastAsia" w:cs="Times New Roman"/>
          <w:b/>
          <w:bCs/>
          <w:highlight w:val="none"/>
          <w:lang w:val="en-US" w:eastAsia="zh-CN"/>
        </w:rPr>
        <w:t>三是</w:t>
      </w:r>
      <w:r>
        <w:rPr>
          <w:rFonts w:hint="eastAsia" w:cs="Times New Roman"/>
          <w:highlight w:val="none"/>
          <w:lang w:val="en-US" w:eastAsia="zh-CN"/>
        </w:rPr>
        <w:t>抓牢绿色金改这个机遇，加强改革试点联动，探索体制机制突破，争取标准制定权、话语权。</w:t>
      </w:r>
      <w:r>
        <w:rPr>
          <w:rFonts w:hint="eastAsia" w:cs="Times New Roman"/>
          <w:b/>
          <w:bCs/>
          <w:highlight w:val="none"/>
          <w:lang w:val="en-US" w:eastAsia="zh-CN"/>
        </w:rPr>
        <w:t>四是</w:t>
      </w:r>
      <w:r>
        <w:rPr>
          <w:rFonts w:hint="eastAsia" w:cs="Times New Roman"/>
          <w:highlight w:val="none"/>
          <w:lang w:val="en-US" w:eastAsia="zh-CN"/>
        </w:rPr>
        <w:t>壮大金融产业这个基础，做好引进、提升、规范的文章。</w:t>
      </w:r>
      <w:r>
        <w:rPr>
          <w:rFonts w:hint="eastAsia" w:cs="Times New Roman"/>
          <w:b/>
          <w:bCs/>
          <w:highlight w:val="none"/>
          <w:lang w:val="en-US" w:eastAsia="zh-CN"/>
        </w:rPr>
        <w:t>五是</w:t>
      </w:r>
      <w:r>
        <w:rPr>
          <w:rFonts w:hint="eastAsia" w:cs="Times New Roman"/>
          <w:highlight w:val="none"/>
          <w:lang w:val="en-US" w:eastAsia="zh-CN"/>
        </w:rPr>
        <w:t xml:space="preserve">守住金融风险的底线，加快处置不良、协调“两链”风险，维护金融秩序。         </w:t>
      </w:r>
      <w:r>
        <w:rPr>
          <w:rFonts w:hint="default" w:ascii="Times New Roman" w:hAnsi="Times New Roman" w:cs="Times New Roman"/>
          <w:highlight w:val="none"/>
          <w:lang w:eastAsia="zh-CN"/>
        </w:rPr>
        <w:t>（</w:t>
      </w:r>
      <w:r>
        <w:rPr>
          <w:rFonts w:hint="eastAsia" w:cs="Times New Roman"/>
          <w:highlight w:val="none"/>
          <w:lang w:eastAsia="zh-CN"/>
        </w:rPr>
        <w:t>综合</w:t>
      </w:r>
      <w:r>
        <w:rPr>
          <w:rFonts w:hint="default" w:ascii="Times New Roman" w:hAnsi="Times New Roman" w:cs="Times New Roman"/>
          <w:highlight w:val="none"/>
          <w:lang w:eastAsia="zh-CN"/>
        </w:rPr>
        <w:t>处）</w:t>
      </w:r>
    </w:p>
    <w:p>
      <w:pPr>
        <w:keepNext w:val="0"/>
        <w:keepLines w:val="0"/>
        <w:pageBreakBefore w:val="0"/>
        <w:widowControl w:val="0"/>
        <w:kinsoku/>
        <w:wordWrap/>
        <w:overflowPunct/>
        <w:topLinePunct w:val="0"/>
        <w:autoSpaceDE/>
        <w:autoSpaceDN/>
        <w:bidi w:val="0"/>
        <w:adjustRightInd w:val="0"/>
        <w:snapToGrid/>
        <w:spacing w:line="560" w:lineRule="exact"/>
        <w:ind w:firstLine="600" w:firstLineChars="200"/>
        <w:jc w:val="both"/>
        <w:textAlignment w:val="auto"/>
        <w:outlineLvl w:val="9"/>
        <w:rPr>
          <w:rFonts w:hint="eastAsia" w:ascii="仿宋_GB2312" w:hAnsi="仿宋_GB2312" w:eastAsia="仿宋_GB2312" w:cs="仿宋_GB2312"/>
          <w:color w:val="auto"/>
          <w:sz w:val="30"/>
          <w:szCs w:val="30"/>
          <w:lang w:val="en-US" w:eastAsia="zh-CN"/>
        </w:rPr>
      </w:pPr>
      <w:bookmarkStart w:id="19" w:name="_Toc27792"/>
      <w:bookmarkStart w:id="20" w:name="_Toc1961"/>
      <w:r>
        <w:rPr>
          <w:rStyle w:val="13"/>
          <w:rFonts w:hint="default" w:ascii="Times New Roman" w:hAnsi="Times New Roman" w:cs="Times New Roman"/>
        </w:rPr>
        <w:t>●绿色金融改革创新试验区建设座谈会在湖召开</w:t>
      </w:r>
      <w:bookmarkEnd w:id="19"/>
      <w:bookmarkEnd w:id="20"/>
      <w:r>
        <w:rPr>
          <w:rFonts w:hint="eastAsia" w:ascii="仿宋_GB2312" w:hAnsi="仿宋_GB2312" w:cs="仿宋_GB2312"/>
          <w:b/>
          <w:bCs/>
          <w:color w:val="auto"/>
          <w:sz w:val="30"/>
          <w:szCs w:val="30"/>
          <w:lang w:val="en-US" w:eastAsia="zh-CN"/>
        </w:rPr>
        <w:t>。</w:t>
      </w:r>
      <w:r>
        <w:rPr>
          <w:rFonts w:hint="eastAsia" w:ascii="仿宋_GB2312" w:hAnsi="仿宋_GB2312" w:eastAsia="仿宋_GB2312" w:cs="仿宋_GB2312"/>
          <w:color w:val="auto"/>
          <w:sz w:val="30"/>
          <w:szCs w:val="30"/>
          <w:lang w:val="en-US" w:eastAsia="zh-CN"/>
        </w:rPr>
        <w:t>6月12日-13日，全国绿色金融改革创新试验区建设座谈会在湖州召开，中央财经委、国务院办公厅、中国人民银行、国家发改委、工信部、财政部等国家部委，国开行、工行、农行等10多家总部金融机构，五省八地试验区政府及金融机构代表等参加了会议。会议由中国人民银行牵头，湖州市具体承办。会上，省政府高屹副秘书长、湖州市委马晓晖书记分别做了致辞，五个试验区省级领导小组和地市汇报交流了工作。中国人民银行陈雨露副行长出席了会议，并做了工作部署。</w:t>
      </w:r>
    </w:p>
    <w:p>
      <w:pPr>
        <w:keepNext w:val="0"/>
        <w:keepLines w:val="0"/>
        <w:pageBreakBefore w:val="0"/>
        <w:widowControl w:val="0"/>
        <w:kinsoku/>
        <w:wordWrap/>
        <w:overflowPunct/>
        <w:topLinePunct w:val="0"/>
        <w:autoSpaceDE/>
        <w:autoSpaceDN/>
        <w:bidi w:val="0"/>
        <w:adjustRightInd w:val="0"/>
        <w:snapToGrid/>
        <w:spacing w:line="560" w:lineRule="exact"/>
        <w:ind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陈雨露</w:t>
      </w:r>
      <w:r>
        <w:rPr>
          <w:rFonts w:hint="eastAsia" w:ascii="仿宋_GB2312" w:hAnsi="仿宋_GB2312" w:eastAsia="仿宋_GB2312" w:cs="仿宋_GB2312"/>
          <w:color w:val="auto"/>
          <w:sz w:val="30"/>
          <w:szCs w:val="30"/>
          <w:lang w:eastAsia="zh-CN"/>
        </w:rPr>
        <w:t>副行长</w:t>
      </w:r>
      <w:r>
        <w:rPr>
          <w:rFonts w:hint="eastAsia" w:ascii="仿宋_GB2312" w:hAnsi="仿宋_GB2312" w:eastAsia="仿宋_GB2312" w:cs="仿宋_GB2312"/>
          <w:color w:val="auto"/>
          <w:sz w:val="30"/>
          <w:szCs w:val="30"/>
        </w:rPr>
        <w:t>指出，在“两山”理念诞生地浙江湖州召开此次座谈会具有特殊意义，旨在进一步领会习近平新时代中国特色社会主义思想深邃内涵和远大意义，增强绿色金融改革试点工作的使命感和紧迫感，推动我国绿色金融改革继续向纵深发展。</w:t>
      </w:r>
      <w:r>
        <w:rPr>
          <w:rFonts w:hint="eastAsia" w:ascii="仿宋_GB2312" w:hAnsi="仿宋_GB2312" w:eastAsia="仿宋_GB2312" w:cs="仿宋_GB2312"/>
          <w:color w:val="auto"/>
          <w:sz w:val="30"/>
          <w:szCs w:val="30"/>
          <w:lang w:eastAsia="zh-CN"/>
        </w:rPr>
        <w:t>他表示，</w:t>
      </w:r>
      <w:r>
        <w:rPr>
          <w:rFonts w:hint="eastAsia" w:ascii="仿宋_GB2312" w:hAnsi="仿宋_GB2312" w:eastAsia="仿宋_GB2312" w:cs="仿宋_GB2312"/>
          <w:color w:val="auto"/>
          <w:sz w:val="30"/>
          <w:szCs w:val="30"/>
        </w:rPr>
        <w:t>试验区设立一年来</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试点总体方案中85%以上的试点任务已经启动推进</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试验区建设初见成效</w:t>
      </w:r>
      <w:r>
        <w:rPr>
          <w:rFonts w:hint="eastAsia" w:ascii="仿宋_GB2312" w:hAnsi="仿宋_GB2312" w:eastAsia="仿宋_GB2312" w:cs="仿宋_GB2312"/>
          <w:color w:val="auto"/>
          <w:sz w:val="30"/>
          <w:szCs w:val="30"/>
          <w:lang w:eastAsia="zh-CN"/>
        </w:rPr>
        <w:t>，但是也面临</w:t>
      </w:r>
      <w:r>
        <w:rPr>
          <w:rFonts w:hint="eastAsia" w:ascii="仿宋_GB2312" w:hAnsi="仿宋_GB2312" w:eastAsia="仿宋_GB2312" w:cs="仿宋_GB2312"/>
          <w:color w:val="auto"/>
          <w:sz w:val="30"/>
          <w:szCs w:val="30"/>
        </w:rPr>
        <w:t>体制机制创新突破方面还显不足</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绿色标准界定不统一、基础设施建设滞后</w:t>
      </w:r>
      <w:r>
        <w:rPr>
          <w:rFonts w:hint="eastAsia" w:ascii="仿宋_GB2312" w:hAnsi="仿宋_GB2312" w:eastAsia="仿宋_GB2312" w:cs="仿宋_GB2312"/>
          <w:color w:val="auto"/>
          <w:sz w:val="30"/>
          <w:szCs w:val="30"/>
          <w:lang w:eastAsia="zh-CN"/>
        </w:rPr>
        <w:t>等问题。下一步：</w:t>
      </w:r>
      <w:r>
        <w:rPr>
          <w:rFonts w:hint="eastAsia" w:ascii="仿宋_GB2312" w:hAnsi="仿宋_GB2312" w:eastAsia="仿宋_GB2312" w:cs="仿宋_GB2312"/>
          <w:b/>
          <w:bCs/>
          <w:color w:val="auto"/>
          <w:sz w:val="30"/>
          <w:szCs w:val="30"/>
          <w:lang w:eastAsia="zh-CN"/>
        </w:rPr>
        <w:t>一是</w:t>
      </w:r>
      <w:r>
        <w:rPr>
          <w:rFonts w:hint="eastAsia" w:ascii="仿宋_GB2312" w:hAnsi="仿宋_GB2312" w:eastAsia="仿宋_GB2312" w:cs="仿宋_GB2312"/>
          <w:color w:val="auto"/>
          <w:sz w:val="30"/>
          <w:szCs w:val="30"/>
          <w:lang w:eastAsia="zh-CN"/>
        </w:rPr>
        <w:t>试验区建设要紧紧围绕提升绿色金融可持续发展这一核心目标，推动试验区工作向纵深迈进。</w:t>
      </w:r>
      <w:r>
        <w:rPr>
          <w:rFonts w:hint="eastAsia" w:ascii="仿宋_GB2312" w:hAnsi="仿宋_GB2312" w:eastAsia="仿宋_GB2312" w:cs="仿宋_GB2312"/>
          <w:b/>
          <w:bCs/>
          <w:color w:val="auto"/>
          <w:sz w:val="30"/>
          <w:szCs w:val="30"/>
          <w:lang w:eastAsia="zh-CN"/>
        </w:rPr>
        <w:t>二是</w:t>
      </w:r>
      <w:r>
        <w:rPr>
          <w:rFonts w:hint="eastAsia" w:ascii="仿宋_GB2312" w:hAnsi="仿宋_GB2312" w:eastAsia="仿宋_GB2312" w:cs="仿宋_GB2312"/>
          <w:color w:val="auto"/>
          <w:sz w:val="30"/>
          <w:szCs w:val="30"/>
          <w:lang w:eastAsia="zh-CN"/>
        </w:rPr>
        <w:t>人民银行牵头制定银行业存款类金融机构绿色信贷业绩评价方案，近期即将发布。</w:t>
      </w:r>
      <w:r>
        <w:rPr>
          <w:rFonts w:hint="eastAsia" w:ascii="仿宋_GB2312" w:hAnsi="仿宋_GB2312" w:eastAsia="仿宋_GB2312" w:cs="仿宋_GB2312"/>
          <w:b/>
          <w:bCs/>
          <w:color w:val="auto"/>
          <w:sz w:val="30"/>
          <w:szCs w:val="30"/>
          <w:lang w:eastAsia="zh-CN"/>
        </w:rPr>
        <w:t>三是</w:t>
      </w:r>
      <w:r>
        <w:rPr>
          <w:rFonts w:hint="eastAsia" w:ascii="仿宋_GB2312" w:hAnsi="仿宋_GB2312" w:eastAsia="仿宋_GB2312" w:cs="仿宋_GB2312"/>
          <w:color w:val="auto"/>
          <w:sz w:val="30"/>
          <w:szCs w:val="30"/>
          <w:lang w:eastAsia="zh-CN"/>
        </w:rPr>
        <w:t>人民银行加快论证在试验区尽快先行开展四项具体试点工作，包括构建绿色信贷业务管理体系、统一绿色信贷统计标准、开展环境权益抵质押融资、开展金融支持清洁供暖试点和金融支持畜禽养殖业废弃物无害化试点。</w:t>
      </w:r>
      <w:r>
        <w:rPr>
          <w:rFonts w:hint="eastAsia" w:ascii="仿宋_GB2312" w:hAnsi="仿宋_GB2312" w:eastAsia="仿宋_GB2312" w:cs="仿宋_GB2312"/>
          <w:b/>
          <w:bCs/>
          <w:color w:val="auto"/>
          <w:sz w:val="30"/>
          <w:szCs w:val="30"/>
          <w:lang w:eastAsia="zh-CN"/>
        </w:rPr>
        <w:t>四是</w:t>
      </w:r>
      <w:r>
        <w:rPr>
          <w:rFonts w:hint="eastAsia" w:ascii="仿宋_GB2312" w:hAnsi="仿宋_GB2312" w:eastAsia="仿宋_GB2312" w:cs="仿宋_GB2312"/>
          <w:color w:val="auto"/>
          <w:sz w:val="30"/>
          <w:szCs w:val="30"/>
          <w:lang w:eastAsia="zh-CN"/>
        </w:rPr>
        <w:t>推动商业银行探索建立绿色信贷环境效益交易机制，建立绿色金融行业自律机制，优化绿色信贷宏观审慎评估等事项，根据“成熟一项、加紧推进一项”的原则来扎实展开上述关键工作。</w:t>
      </w:r>
    </w:p>
    <w:p>
      <w:pPr>
        <w:keepNext w:val="0"/>
        <w:keepLines w:val="0"/>
        <w:pageBreakBefore w:val="0"/>
        <w:widowControl w:val="0"/>
        <w:kinsoku/>
        <w:wordWrap/>
        <w:overflowPunct/>
        <w:topLinePunct w:val="0"/>
        <w:autoSpaceDE/>
        <w:autoSpaceDN/>
        <w:bidi w:val="0"/>
        <w:adjustRightInd w:val="0"/>
        <w:snapToGrid/>
        <w:spacing w:line="560" w:lineRule="exact"/>
        <w:ind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陈雨露副行长充分肯定了湖州绿色金融改革取得的成效，全国</w:t>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lang w:eastAsia="zh-CN"/>
        </w:rPr>
        <w:t>个绿色金融典型案例</w:t>
      </w:r>
      <w:r>
        <w:rPr>
          <w:rFonts w:hint="eastAsia" w:ascii="仿宋_GB2312" w:hAnsi="仿宋_GB2312" w:eastAsia="仿宋_GB2312" w:cs="仿宋_GB2312"/>
          <w:color w:val="auto"/>
          <w:sz w:val="30"/>
          <w:szCs w:val="30"/>
          <w:lang w:val="en-US" w:eastAsia="zh-CN"/>
        </w:rPr>
        <w:t>4个在湖州，要求湖州争当具有全国示范意义的绿色金融改革典范。</w:t>
      </w:r>
      <w:r>
        <w:rPr>
          <w:rFonts w:hint="eastAsia" w:ascii="仿宋_GB2312" w:hAnsi="仿宋_GB2312" w:eastAsia="仿宋_GB2312" w:cs="仿宋_GB2312"/>
          <w:color w:val="auto"/>
          <w:sz w:val="30"/>
          <w:szCs w:val="30"/>
          <w:lang w:eastAsia="zh-CN"/>
        </w:rPr>
        <w:t>绿色金融试验区建设一年来，湖州市</w:t>
      </w:r>
      <w:r>
        <w:rPr>
          <w:rFonts w:hint="eastAsia" w:ascii="仿宋_GB2312" w:hAnsi="仿宋_GB2312" w:eastAsia="仿宋_GB2312" w:cs="仿宋_GB2312"/>
          <w:color w:val="auto"/>
          <w:sz w:val="30"/>
          <w:szCs w:val="30"/>
        </w:rPr>
        <w:t>深入贯彻省委省政府的决策部署，扎实推进绿色金融改革，着力推动金融活水浇灌绿色发展，绿色金融改革创新试验区建设取得良好成效</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全市绿色信贷余额占全部信贷余额比重</w:t>
      </w:r>
      <w:r>
        <w:rPr>
          <w:rFonts w:hint="eastAsia" w:ascii="仿宋_GB2312" w:hAnsi="仿宋_GB2312" w:eastAsia="仿宋_GB2312" w:cs="仿宋_GB2312"/>
          <w:color w:val="auto"/>
          <w:sz w:val="30"/>
          <w:szCs w:val="30"/>
          <w:lang w:eastAsia="zh-CN"/>
        </w:rPr>
        <w:t>达到了</w:t>
      </w:r>
      <w:r>
        <w:rPr>
          <w:rFonts w:hint="eastAsia" w:ascii="仿宋_GB2312" w:hAnsi="仿宋_GB2312" w:eastAsia="仿宋_GB2312" w:cs="仿宋_GB2312"/>
          <w:color w:val="auto"/>
          <w:sz w:val="30"/>
          <w:szCs w:val="30"/>
          <w:lang w:val="en-US" w:eastAsia="zh-CN"/>
        </w:rPr>
        <w:t>22</w:t>
      </w:r>
      <w:r>
        <w:rPr>
          <w:rFonts w:hint="eastAsia" w:ascii="仿宋_GB2312" w:hAnsi="仿宋_GB2312" w:eastAsia="仿宋_GB2312" w:cs="仿宋_GB2312"/>
          <w:color w:val="auto"/>
          <w:sz w:val="30"/>
          <w:szCs w:val="30"/>
        </w:rPr>
        <w:t>%，银行存贷款、金融业增加值等6项指标居全省前列。</w:t>
      </w:r>
      <w:r>
        <w:rPr>
          <w:rFonts w:hint="eastAsia" w:ascii="仿宋_GB2312" w:hAnsi="仿宋_GB2312" w:eastAsia="仿宋_GB2312" w:cs="仿宋_GB2312"/>
          <w:b/>
          <w:bCs/>
          <w:color w:val="auto"/>
          <w:sz w:val="30"/>
          <w:szCs w:val="30"/>
          <w:lang w:eastAsia="zh-CN"/>
        </w:rPr>
        <w:t>一是</w:t>
      </w:r>
      <w:r>
        <w:rPr>
          <w:rFonts w:hint="eastAsia" w:ascii="仿宋_GB2312" w:hAnsi="仿宋_GB2312" w:eastAsia="仿宋_GB2312" w:cs="仿宋_GB2312"/>
          <w:color w:val="auto"/>
          <w:sz w:val="30"/>
          <w:szCs w:val="30"/>
        </w:rPr>
        <w:t>形成了健全的领导机制，建立了由书记、市长担任双组长的绿色金改领导小组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b/>
          <w:bCs/>
          <w:color w:val="auto"/>
          <w:sz w:val="30"/>
          <w:szCs w:val="30"/>
          <w:lang w:eastAsia="zh-CN"/>
        </w:rPr>
        <w:t>二是</w:t>
      </w:r>
      <w:r>
        <w:rPr>
          <w:rFonts w:hint="eastAsia" w:ascii="仿宋_GB2312" w:hAnsi="仿宋_GB2312" w:eastAsia="仿宋_GB2312" w:cs="仿宋_GB2312"/>
          <w:color w:val="auto"/>
          <w:sz w:val="30"/>
          <w:szCs w:val="30"/>
        </w:rPr>
        <w:t>出台了管用的扶持政策，每年安排10亿元专项资金支持绿色金融发展。</w:t>
      </w:r>
      <w:r>
        <w:rPr>
          <w:rFonts w:hint="eastAsia" w:ascii="仿宋_GB2312" w:hAnsi="仿宋_GB2312" w:eastAsia="仿宋_GB2312" w:cs="仿宋_GB2312"/>
          <w:b/>
          <w:bCs/>
          <w:color w:val="auto"/>
          <w:sz w:val="30"/>
          <w:szCs w:val="30"/>
          <w:lang w:eastAsia="zh-CN"/>
        </w:rPr>
        <w:t>三是</w:t>
      </w:r>
      <w:r>
        <w:rPr>
          <w:rFonts w:hint="eastAsia" w:ascii="仿宋_GB2312" w:hAnsi="仿宋_GB2312" w:eastAsia="仿宋_GB2312" w:cs="仿宋_GB2312"/>
          <w:color w:val="auto"/>
          <w:sz w:val="30"/>
          <w:szCs w:val="30"/>
        </w:rPr>
        <w:t>制定了科学的评价标准，</w:t>
      </w:r>
      <w:r>
        <w:rPr>
          <w:rFonts w:hint="eastAsia" w:ascii="仿宋_GB2312" w:hAnsi="仿宋_GB2312" w:eastAsia="仿宋_GB2312" w:cs="仿宋_GB2312"/>
          <w:color w:val="auto"/>
          <w:sz w:val="30"/>
          <w:szCs w:val="30"/>
          <w:lang w:eastAsia="zh-CN"/>
        </w:rPr>
        <w:t>在全国率先</w:t>
      </w:r>
      <w:r>
        <w:rPr>
          <w:rFonts w:hint="eastAsia" w:ascii="仿宋_GB2312" w:hAnsi="仿宋_GB2312" w:eastAsia="仿宋_GB2312" w:cs="仿宋_GB2312"/>
          <w:color w:val="auto"/>
          <w:sz w:val="30"/>
          <w:szCs w:val="30"/>
        </w:rPr>
        <w:t>制定了绿色企业</w:t>
      </w:r>
      <w:r>
        <w:rPr>
          <w:rFonts w:hint="eastAsia" w:ascii="仿宋_GB2312" w:hAnsi="仿宋_GB2312" w:eastAsia="仿宋_GB2312" w:cs="仿宋_GB2312"/>
          <w:color w:val="auto"/>
          <w:sz w:val="30"/>
          <w:szCs w:val="30"/>
          <w:lang w:eastAsia="zh-CN"/>
        </w:rPr>
        <w:t>和</w:t>
      </w:r>
      <w:r>
        <w:rPr>
          <w:rFonts w:hint="eastAsia" w:ascii="仿宋_GB2312" w:hAnsi="仿宋_GB2312" w:eastAsia="仿宋_GB2312" w:cs="仿宋_GB2312"/>
          <w:color w:val="auto"/>
          <w:sz w:val="30"/>
          <w:szCs w:val="30"/>
        </w:rPr>
        <w:t>绿色项目认定评价</w:t>
      </w:r>
      <w:r>
        <w:rPr>
          <w:rFonts w:hint="eastAsia" w:ascii="仿宋_GB2312" w:hAnsi="仿宋_GB2312" w:eastAsia="仿宋_GB2312" w:cs="仿宋_GB2312"/>
          <w:color w:val="auto"/>
          <w:sz w:val="30"/>
          <w:szCs w:val="30"/>
          <w:lang w:eastAsia="zh-CN"/>
        </w:rPr>
        <w:t>、绿色银行评级和专营机构评估等标准规范</w:t>
      </w:r>
      <w:r>
        <w:rPr>
          <w:rFonts w:hint="eastAsia" w:ascii="仿宋_GB2312" w:hAnsi="仿宋_GB2312" w:eastAsia="仿宋_GB2312" w:cs="仿宋_GB2312"/>
          <w:color w:val="auto"/>
          <w:sz w:val="30"/>
          <w:szCs w:val="30"/>
        </w:rPr>
        <w:t>，打通了绿色金融落地的关键瓶颈</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b/>
          <w:bCs/>
          <w:color w:val="auto"/>
          <w:sz w:val="30"/>
          <w:szCs w:val="30"/>
          <w:lang w:eastAsia="zh-CN"/>
        </w:rPr>
        <w:t>四是</w:t>
      </w:r>
      <w:r>
        <w:rPr>
          <w:rFonts w:hint="eastAsia" w:ascii="仿宋_GB2312" w:hAnsi="仿宋_GB2312" w:eastAsia="仿宋_GB2312" w:cs="仿宋_GB2312"/>
          <w:color w:val="auto"/>
          <w:sz w:val="30"/>
          <w:szCs w:val="30"/>
        </w:rPr>
        <w:t>组建了专业的运营机构，成立了全国首家持牌绿色专营支行，湖州银行正在创建中国境内第三家赤道银行，全国银行机构绿色事业部、绿色支行达到了14家。</w:t>
      </w:r>
      <w:r>
        <w:rPr>
          <w:rFonts w:hint="eastAsia" w:ascii="仿宋_GB2312" w:hAnsi="仿宋_GB2312" w:eastAsia="仿宋_GB2312" w:cs="仿宋_GB2312"/>
          <w:b/>
          <w:bCs/>
          <w:color w:val="auto"/>
          <w:sz w:val="30"/>
          <w:szCs w:val="30"/>
          <w:lang w:eastAsia="zh-CN"/>
        </w:rPr>
        <w:t>五是</w:t>
      </w:r>
      <w:r>
        <w:rPr>
          <w:rFonts w:hint="eastAsia" w:ascii="仿宋_GB2312" w:hAnsi="仿宋_GB2312" w:eastAsia="仿宋_GB2312" w:cs="仿宋_GB2312"/>
          <w:color w:val="auto"/>
          <w:sz w:val="30"/>
          <w:szCs w:val="30"/>
        </w:rPr>
        <w:t>创新了有效的供给产品，率先开展了绿色信贷分类贴标试点，并搭建了“绿贷通”绿色企业在线融资服务平台。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下一步，湖州将</w:t>
      </w:r>
      <w:r>
        <w:rPr>
          <w:rFonts w:hint="eastAsia" w:ascii="仿宋_GB2312" w:hAnsi="仿宋_GB2312" w:eastAsia="仿宋_GB2312" w:cs="仿宋_GB2312"/>
          <w:color w:val="auto"/>
          <w:sz w:val="30"/>
          <w:szCs w:val="30"/>
        </w:rPr>
        <w:t>站在新的起点上，</w:t>
      </w:r>
      <w:r>
        <w:rPr>
          <w:rFonts w:hint="eastAsia" w:ascii="仿宋_GB2312" w:hAnsi="仿宋_GB2312" w:eastAsia="仿宋_GB2312" w:cs="仿宋_GB2312"/>
          <w:color w:val="auto"/>
          <w:sz w:val="30"/>
          <w:szCs w:val="30"/>
          <w:lang w:val="en-US"/>
        </w:rPr>
        <w:t>加快推进绿色金融改革，为加快赶超、实现“两高”提供强有力的金融支撑。</w:t>
      </w:r>
      <w:r>
        <w:rPr>
          <w:rFonts w:hint="eastAsia" w:ascii="仿宋_GB2312" w:hAnsi="仿宋_GB2312" w:eastAsia="仿宋_GB2312" w:cs="仿宋_GB2312"/>
          <w:b/>
          <w:bCs/>
          <w:color w:val="auto"/>
          <w:sz w:val="30"/>
          <w:szCs w:val="30"/>
        </w:rPr>
        <w:t>一是</w:t>
      </w:r>
      <w:r>
        <w:rPr>
          <w:rFonts w:hint="eastAsia" w:ascii="仿宋_GB2312" w:hAnsi="仿宋_GB2312" w:eastAsia="仿宋_GB2312" w:cs="仿宋_GB2312"/>
          <w:color w:val="auto"/>
          <w:sz w:val="30"/>
          <w:szCs w:val="30"/>
        </w:rPr>
        <w:t>推动绿色金融战略</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用好用活绿色金融改革创新试验区、“中国制造2025”等国家改革试点的政策红利，保持绿色资金投放总量合理较快增长。</w:t>
      </w:r>
      <w:r>
        <w:rPr>
          <w:rFonts w:hint="eastAsia" w:ascii="仿宋_GB2312" w:hAnsi="仿宋_GB2312" w:eastAsia="仿宋_GB2312" w:cs="仿宋_GB2312"/>
          <w:b/>
          <w:bCs/>
          <w:color w:val="auto"/>
          <w:sz w:val="30"/>
          <w:szCs w:val="30"/>
        </w:rPr>
        <w:t>二是</w:t>
      </w:r>
      <w:r>
        <w:rPr>
          <w:rFonts w:hint="eastAsia" w:ascii="仿宋_GB2312" w:hAnsi="仿宋_GB2312" w:eastAsia="仿宋_GB2312" w:cs="仿宋_GB2312"/>
          <w:color w:val="auto"/>
          <w:sz w:val="30"/>
          <w:szCs w:val="30"/>
        </w:rPr>
        <w:t>以更高标准构建绿色金融体系</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加快形成特色鲜明、有效适用的湖州绿色金融制度标准体系。</w:t>
      </w:r>
      <w:r>
        <w:rPr>
          <w:rFonts w:hint="eastAsia" w:ascii="仿宋_GB2312" w:hAnsi="仿宋_GB2312" w:eastAsia="仿宋_GB2312" w:cs="仿宋_GB2312"/>
          <w:b/>
          <w:bCs/>
          <w:color w:val="auto"/>
          <w:sz w:val="30"/>
          <w:szCs w:val="30"/>
        </w:rPr>
        <w:t>三是</w:t>
      </w:r>
      <w:r>
        <w:rPr>
          <w:rFonts w:hint="eastAsia" w:ascii="仿宋_GB2312" w:hAnsi="仿宋_GB2312" w:eastAsia="仿宋_GB2312" w:cs="仿宋_GB2312"/>
          <w:color w:val="auto"/>
          <w:sz w:val="30"/>
          <w:szCs w:val="30"/>
        </w:rPr>
        <w:t>优化绿色金融供给</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着力构建环境权益交易平台，深化排污权、用能权有偿使用，扎实推进绿色信贷分类贴标、环境污染责任保险试点。</w:t>
      </w:r>
      <w:r>
        <w:rPr>
          <w:rFonts w:hint="eastAsia" w:ascii="仿宋_GB2312" w:hAnsi="仿宋_GB2312" w:eastAsia="仿宋_GB2312" w:cs="仿宋_GB2312"/>
          <w:b/>
          <w:bCs/>
          <w:color w:val="auto"/>
          <w:sz w:val="30"/>
          <w:szCs w:val="30"/>
        </w:rPr>
        <w:t>四是</w:t>
      </w:r>
      <w:r>
        <w:rPr>
          <w:rFonts w:hint="eastAsia" w:ascii="仿宋_GB2312" w:hAnsi="仿宋_GB2312" w:eastAsia="仿宋_GB2312" w:cs="仿宋_GB2312"/>
          <w:color w:val="auto"/>
          <w:sz w:val="30"/>
          <w:szCs w:val="30"/>
        </w:rPr>
        <w:t>守好绿色金融底线</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强化金融风险监测、分析和处置，严厉打击非法金融活动和恶意逃废债行为，确保金融领域安全。</w:t>
      </w:r>
      <w:r>
        <w:rPr>
          <w:rFonts w:hint="eastAsia" w:ascii="仿宋_GB2312" w:hAnsi="仿宋_GB2312" w:eastAsia="仿宋_GB2312" w:cs="仿宋_GB2312"/>
          <w:color w:val="auto"/>
          <w:sz w:val="30"/>
          <w:szCs w:val="30"/>
          <w:lang w:val="en-US" w:eastAsia="zh-CN"/>
        </w:rPr>
        <w:t xml:space="preserve">      </w:t>
      </w:r>
    </w:p>
    <w:p>
      <w:pPr>
        <w:ind w:firstLine="6300" w:firstLineChars="2100"/>
        <w:rPr>
          <w:rFonts w:hint="eastAsia"/>
        </w:rPr>
      </w:pPr>
      <w:r>
        <w:rPr>
          <w:rFonts w:hint="eastAsia" w:ascii="仿宋_GB2312" w:hAnsi="仿宋_GB2312" w:eastAsia="仿宋_GB2312" w:cs="仿宋_GB2312"/>
          <w:color w:val="auto"/>
          <w:sz w:val="30"/>
          <w:szCs w:val="30"/>
          <w:lang w:eastAsia="zh-CN"/>
        </w:rPr>
        <w:t>（金融改革处）</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00" w:firstLineChars="200"/>
        <w:jc w:val="both"/>
        <w:textAlignment w:val="auto"/>
        <w:rPr>
          <w:rFonts w:hint="default" w:ascii="Times New Roman" w:hAnsi="Times New Roman" w:cs="Times New Roman"/>
          <w:highlight w:val="none"/>
          <w:lang w:eastAsia="zh-CN"/>
        </w:rPr>
      </w:pP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eastAsia" w:cs="Times New Roman"/>
          <w:bCs/>
          <w:color w:val="000000"/>
          <w:sz w:val="30"/>
          <w:szCs w:val="30"/>
          <w:lang w:val="en-US" w:eastAsia="zh-CN"/>
        </w:rPr>
      </w:pPr>
      <w:bookmarkStart w:id="21" w:name="_Toc8897"/>
      <w:bookmarkStart w:id="22" w:name="_Toc16701"/>
      <w:bookmarkStart w:id="23" w:name="_Toc13263"/>
      <w:bookmarkStart w:id="24" w:name="_Toc4869"/>
      <w:bookmarkStart w:id="25" w:name="_Toc6854"/>
      <w:bookmarkStart w:id="26" w:name="_Toc2266"/>
      <w:r>
        <w:rPr>
          <w:rStyle w:val="13"/>
          <w:rFonts w:hint="default" w:ascii="Times New Roman" w:hAnsi="Times New Roman" w:cs="Times New Roman"/>
        </w:rPr>
        <w:t>●</w:t>
      </w:r>
      <w:r>
        <w:rPr>
          <w:rStyle w:val="13"/>
          <w:rFonts w:hint="default" w:ascii="Times New Roman" w:hAnsi="Times New Roman" w:cs="Times New Roman"/>
          <w:lang w:val="en-US" w:eastAsia="zh-CN"/>
        </w:rPr>
        <w:t>湖州市资本与项目第二次对接会</w:t>
      </w:r>
      <w:bookmarkEnd w:id="21"/>
      <w:r>
        <w:rPr>
          <w:rStyle w:val="13"/>
          <w:rFonts w:hint="default" w:ascii="Times New Roman" w:hAnsi="Times New Roman" w:cs="Times New Roman"/>
          <w:lang w:val="en-US" w:eastAsia="zh-CN"/>
        </w:rPr>
        <w:t>成功举办</w:t>
      </w:r>
      <w:bookmarkEnd w:id="22"/>
      <w:bookmarkEnd w:id="23"/>
      <w:bookmarkEnd w:id="24"/>
      <w:bookmarkEnd w:id="25"/>
      <w:bookmarkEnd w:id="26"/>
      <w:r>
        <w:rPr>
          <w:rFonts w:hint="default" w:ascii="Times New Roman" w:hAnsi="Times New Roman" w:cs="Times New Roman"/>
          <w:b/>
          <w:bCs/>
        </w:rPr>
        <w:t>。</w:t>
      </w:r>
      <w:r>
        <w:rPr>
          <w:rFonts w:hint="default" w:ascii="Times New Roman" w:hAnsi="Times New Roman" w:eastAsia="仿宋_GB2312" w:cs="Times New Roman"/>
          <w:bCs/>
          <w:color w:val="000000"/>
          <w:sz w:val="30"/>
          <w:szCs w:val="30"/>
          <w:lang w:val="en-US" w:eastAsia="zh-CN"/>
        </w:rPr>
        <w:t>6月1日，湖州市企业上市和并购重组“五年倍增行动”计划暨资本与项目第二次对接会圆满召开，来自吴兴区、南浔区、安吉县、开发区的九家企业进行了项目路演。</w:t>
      </w:r>
      <w:r>
        <w:rPr>
          <w:rFonts w:hint="eastAsia" w:cs="Times New Roman"/>
          <w:bCs/>
          <w:color w:val="000000"/>
          <w:sz w:val="30"/>
          <w:szCs w:val="30"/>
          <w:lang w:val="en-US" w:eastAsia="zh-CN"/>
        </w:rPr>
        <w:t>本次活动采用“项目路演、点评互动、私密对接”活动模式,爱创智能、绿色新材、绿溯生机、富民生物、管工智能、骐远智能、奥奇食品、普朗克、万昌家居等融资项目参加路演。路演活动结束后，投资机构和路演各项目负责人展开交流探讨，有七家投资机构对参加路演的其中六个项目兴趣浓厚，并表示将跟进洽谈。本次是2018年活动的第二场，希望通过搭建企业（项目）与投资机构交流与合作平台，拓宽企业（项目）股权融资渠道，培育企业不断发展壮大，形成上市后备梯队，促进全市的实体经济和资本市场共同发展，打造资本市场湖州板块。</w:t>
      </w:r>
    </w:p>
    <w:p>
      <w:pPr>
        <w:ind w:firstLine="600" w:firstLineChars="200"/>
        <w:rPr>
          <w:rFonts w:hint="default" w:ascii="Times New Roman" w:hAnsi="Times New Roman" w:cs="Times New Roman"/>
          <w:b w:val="0"/>
        </w:rPr>
      </w:pPr>
      <w:r>
        <w:rPr>
          <w:rFonts w:hint="eastAsia" w:cs="Times New Roman"/>
          <w:bCs/>
          <w:color w:val="000000"/>
          <w:sz w:val="30"/>
          <w:szCs w:val="30"/>
          <w:lang w:val="en-US" w:eastAsia="zh-CN"/>
        </w:rPr>
        <w:t xml:space="preserve">                                     </w:t>
      </w:r>
      <w:r>
        <w:rPr>
          <w:rFonts w:hint="default" w:ascii="Times New Roman" w:hAnsi="Times New Roman" w:eastAsia="仿宋_GB2312" w:cs="Times New Roman"/>
          <w:bCs/>
          <w:color w:val="000000"/>
          <w:sz w:val="30"/>
          <w:szCs w:val="30"/>
        </w:rPr>
        <w:t>（</w:t>
      </w:r>
      <w:r>
        <w:rPr>
          <w:rFonts w:hint="eastAsia" w:cs="Times New Roman"/>
          <w:bCs/>
          <w:color w:val="000000"/>
          <w:sz w:val="30"/>
          <w:szCs w:val="30"/>
          <w:lang w:eastAsia="zh-CN"/>
        </w:rPr>
        <w:t>资本市场</w:t>
      </w:r>
      <w:r>
        <w:rPr>
          <w:rFonts w:hint="default" w:ascii="Times New Roman" w:hAnsi="Times New Roman" w:cs="Times New Roman"/>
          <w:bCs/>
          <w:color w:val="000000"/>
          <w:sz w:val="30"/>
          <w:szCs w:val="30"/>
          <w:lang w:val="en-US" w:eastAsia="zh-CN"/>
        </w:rPr>
        <w:t>处</w:t>
      </w:r>
      <w:r>
        <w:rPr>
          <w:rFonts w:hint="default" w:ascii="Times New Roman" w:hAnsi="Times New Roman" w:eastAsia="仿宋_GB2312" w:cs="Times New Roman"/>
          <w:bCs/>
          <w:color w:val="000000"/>
          <w:sz w:val="30"/>
          <w:szCs w:val="30"/>
        </w:rPr>
        <w:t>）</w:t>
      </w:r>
      <w:r>
        <w:rPr>
          <w:rFonts w:hint="eastAsia" w:ascii="仿宋_GB2312"/>
          <w:kern w:val="0"/>
          <w:sz w:val="30"/>
          <w:szCs w:val="30"/>
          <w:lang w:val="en-US" w:eastAsia="zh-CN"/>
        </w:rPr>
        <w:t xml:space="preserve">      </w:t>
      </w:r>
      <w:r>
        <w:rPr>
          <w:rFonts w:hint="default" w:ascii="Times New Roman" w:hAnsi="Times New Roman" w:cs="Times New Roman"/>
          <w:sz w:val="30"/>
          <w:szCs w:val="30"/>
          <w:lang w:val="en-US" w:eastAsia="zh-CN"/>
        </w:rPr>
        <w:t xml:space="preserve">  </w:t>
      </w:r>
      <w:bookmarkEnd w:id="7"/>
      <w:bookmarkEnd w:id="8"/>
      <w:bookmarkEnd w:id="9"/>
      <w:bookmarkEnd w:id="10"/>
      <w:bookmarkEnd w:id="11"/>
      <w:bookmarkEnd w:id="12"/>
      <w:bookmarkStart w:id="27" w:name="_Toc18092"/>
      <w:bookmarkStart w:id="28" w:name="_Toc27929"/>
      <w:bookmarkStart w:id="29" w:name="_Toc5605"/>
      <w:bookmarkStart w:id="30" w:name="_Toc24904"/>
      <w:bookmarkStart w:id="31" w:name="_Toc966"/>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rPr>
          <w:rFonts w:hint="default" w:ascii="Times New Roman" w:hAnsi="Times New Roman" w:cs="Times New Roman"/>
          <w:b w:val="0"/>
        </w:rPr>
      </w:pPr>
      <w:bookmarkStart w:id="32" w:name="_Toc30079"/>
      <w:bookmarkStart w:id="33" w:name="_Toc32287"/>
      <w:r>
        <w:rPr>
          <w:rFonts w:hint="default" w:ascii="Times New Roman" w:hAnsi="Times New Roman" w:cs="Times New Roman"/>
          <w:b w:val="0"/>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Fonts w:hint="default" w:ascii="Times New Roman" w:hAnsi="Times New Roman" w:eastAsia="仿宋_GB2312" w:cs="Times New Roman"/>
          <w:sz w:val="30"/>
          <w:szCs w:val="30"/>
          <w:lang w:val="en-US" w:eastAsia="zh-CN"/>
        </w:rPr>
      </w:pPr>
      <w:bookmarkStart w:id="34" w:name="_Toc19419"/>
      <w:bookmarkStart w:id="35" w:name="_Toc19787"/>
      <w:bookmarkStart w:id="36" w:name="_Toc32509"/>
      <w:bookmarkStart w:id="37" w:name="_Toc5775"/>
      <w:bookmarkStart w:id="38" w:name="_Toc22383"/>
      <w:bookmarkStart w:id="39" w:name="_Toc7187"/>
      <w:r>
        <w:rPr>
          <w:rFonts w:hint="default" w:ascii="Times New Roman" w:hAnsi="Times New Roman" w:cs="Times New Roman"/>
          <w:b w:val="0"/>
        </w:rPr>
        <w:t>【金融发展】</w:t>
      </w:r>
      <w:bookmarkEnd w:id="34"/>
      <w:bookmarkEnd w:id="35"/>
      <w:bookmarkEnd w:id="36"/>
      <w:bookmarkEnd w:id="37"/>
      <w:r>
        <w:rPr>
          <w:rFonts w:hint="default" w:ascii="Times New Roman" w:hAnsi="Times New Roman" w:eastAsia="仿宋_GB2312" w:cs="Times New Roman"/>
          <w:sz w:val="30"/>
          <w:szCs w:val="30"/>
          <w:lang w:val="en-US" w:eastAsia="zh-CN"/>
        </w:rPr>
        <w:t xml:space="preserve"> </w:t>
      </w:r>
    </w:p>
    <w:p>
      <w:pPr>
        <w:spacing w:line="560" w:lineRule="exact"/>
        <w:ind w:firstLine="600" w:firstLineChars="200"/>
        <w:jc w:val="center"/>
        <w:rPr>
          <w:rFonts w:hint="default" w:ascii="Times New Roman" w:hAnsi="Times New Roman" w:cs="Times New Roman"/>
          <w:b/>
          <w:bCs/>
          <w:szCs w:val="30"/>
          <w:lang w:val="en-US" w:eastAsia="zh-CN"/>
        </w:rPr>
      </w:pPr>
      <w:bookmarkStart w:id="40" w:name="_Toc32026"/>
      <w:bookmarkStart w:id="41" w:name="_Toc10338"/>
      <w:bookmarkStart w:id="42" w:name="_Toc25458"/>
      <w:bookmarkStart w:id="43" w:name="_Toc7558"/>
      <w:r>
        <w:rPr>
          <w:rStyle w:val="13"/>
          <w:rFonts w:hint="default" w:ascii="Times New Roman" w:hAnsi="Times New Roman" w:cs="Times New Roman"/>
          <w:highlight w:val="none"/>
        </w:rPr>
        <w:t>●</w:t>
      </w:r>
      <w:r>
        <w:rPr>
          <w:rStyle w:val="13"/>
          <w:rFonts w:hint="default" w:ascii="Times New Roman" w:hAnsi="Times New Roman" w:cs="Times New Roman"/>
          <w:sz w:val="32"/>
          <w:highlight w:val="none"/>
          <w:lang w:eastAsia="zh-CN"/>
        </w:rPr>
        <w:t>我</w:t>
      </w:r>
      <w:r>
        <w:rPr>
          <w:rStyle w:val="13"/>
          <w:rFonts w:hint="default" w:ascii="Times New Roman" w:hAnsi="Times New Roman" w:cs="Times New Roman"/>
          <w:sz w:val="32"/>
          <w:highlight w:val="none"/>
        </w:rPr>
        <w:t>市落实“凤凰行动”计划 推进多层次资本市场建设的主要做法</w:t>
      </w:r>
      <w:bookmarkEnd w:id="40"/>
      <w:bookmarkEnd w:id="41"/>
      <w:bookmarkEnd w:id="42"/>
      <w:bookmarkEnd w:id="43"/>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近年来，</w:t>
      </w:r>
      <w:r>
        <w:rPr>
          <w:rFonts w:hint="eastAsia" w:ascii="仿宋_GB2312" w:hAnsi="仿宋_GB2312" w:cs="仿宋_GB2312"/>
          <w:sz w:val="30"/>
          <w:szCs w:val="30"/>
          <w:lang w:eastAsia="zh-CN"/>
        </w:rPr>
        <w:t>我</w:t>
      </w:r>
      <w:r>
        <w:rPr>
          <w:rFonts w:hint="eastAsia" w:ascii="仿宋_GB2312" w:hAnsi="仿宋_GB2312" w:eastAsia="仿宋_GB2312" w:cs="仿宋_GB2312"/>
          <w:sz w:val="30"/>
          <w:szCs w:val="30"/>
        </w:rPr>
        <w:t>市认真贯彻落实省委、省政府决策部署，扎实推进实施以企业上市和并购重组为核心的“凤凰行动”，出台政策发挥“导向”功能、建立梯队增强“储备”能力、问诊把脉提升“帮带”实效，鼓励和引导企业利用多层次资本市场做大做强，助推经济转型升级。2017年，</w:t>
      </w:r>
      <w:r>
        <w:rPr>
          <w:rFonts w:hint="eastAsia" w:ascii="仿宋_GB2312" w:hAnsi="仿宋_GB2312" w:cs="仿宋_GB2312"/>
          <w:sz w:val="30"/>
          <w:szCs w:val="30"/>
          <w:lang w:eastAsia="zh-CN"/>
        </w:rPr>
        <w:t>我</w:t>
      </w:r>
      <w:r>
        <w:rPr>
          <w:rFonts w:hint="eastAsia" w:ascii="仿宋_GB2312" w:hAnsi="仿宋_GB2312" w:eastAsia="仿宋_GB2312" w:cs="仿宋_GB2312"/>
          <w:sz w:val="30"/>
          <w:szCs w:val="30"/>
        </w:rPr>
        <w:t>市先后有7家龙头企业登陆境内外资本市场，取得历年最好成绩，今年1-</w:t>
      </w:r>
      <w:r>
        <w:rPr>
          <w:rFonts w:hint="eastAsia" w:ascii="仿宋_GB2312" w:hAnsi="仿宋_GB2312" w:cs="仿宋_GB2312"/>
          <w:sz w:val="30"/>
          <w:szCs w:val="30"/>
          <w:lang w:val="en-US" w:eastAsia="zh-CN"/>
        </w:rPr>
        <w:t>6</w:t>
      </w:r>
      <w:r>
        <w:rPr>
          <w:rFonts w:hint="eastAsia" w:ascii="仿宋_GB2312" w:hAnsi="仿宋_GB2312" w:eastAsia="仿宋_GB2312" w:cs="仿宋_GB2312"/>
          <w:sz w:val="30"/>
          <w:szCs w:val="30"/>
        </w:rPr>
        <w:t>月又有2家企业成功在上交所上市。截至目前，上市公司累计达32家，较2015年初翻一番，总市值突破2200亿元。上市公司2017年度主营业务收入和利润总额分别同比增长31.6%和25%，高于全市规上企业14.1和2.9个百分点，</w:t>
      </w:r>
      <w:r>
        <w:rPr>
          <w:rFonts w:hint="eastAsia" w:ascii="仿宋_GB2312" w:hAnsi="仿宋_GB2312" w:eastAsia="仿宋_GB2312" w:cs="仿宋_GB2312"/>
          <w:spacing w:val="-8"/>
          <w:kern w:val="0"/>
          <w:sz w:val="30"/>
          <w:szCs w:val="30"/>
        </w:rPr>
        <w:t>13家上市企业实施并购重组21次，涉及并购金额91.8亿元。</w:t>
      </w:r>
    </w:p>
    <w:p>
      <w:pPr>
        <w:spacing w:line="560" w:lineRule="exact"/>
        <w:ind w:firstLine="602" w:firstLineChars="200"/>
        <w:rPr>
          <w:rFonts w:hint="eastAsia" w:ascii="仿宋_GB2312" w:hAnsi="仿宋_GB2312" w:eastAsia="仿宋_GB2312" w:cs="仿宋_GB2312"/>
          <w:sz w:val="30"/>
          <w:szCs w:val="30"/>
        </w:rPr>
      </w:pPr>
      <w:r>
        <w:rPr>
          <w:rFonts w:hint="eastAsia" w:ascii="楷体_GB2312" w:hAnsi="Times New Roman" w:eastAsia="楷体_GB2312"/>
          <w:b/>
          <w:bCs/>
          <w:sz w:val="30"/>
          <w:szCs w:val="30"/>
        </w:rPr>
        <w:t>（一）坚持目标导向，划定作战路线图</w:t>
      </w:r>
      <w:r>
        <w:rPr>
          <w:rFonts w:hint="eastAsia" w:ascii="楷体_GB2312" w:hAnsi="Times New Roman" w:eastAsia="楷体_GB2312"/>
          <w:b/>
          <w:bCs/>
          <w:sz w:val="30"/>
          <w:szCs w:val="30"/>
          <w:lang w:eastAsia="zh-CN"/>
        </w:rPr>
        <w:t>。</w:t>
      </w:r>
      <w:r>
        <w:rPr>
          <w:rFonts w:hint="eastAsia" w:ascii="仿宋_GB2312" w:hAnsi="仿宋_GB2312" w:eastAsia="仿宋_GB2312" w:cs="仿宋_GB2312"/>
          <w:b/>
          <w:bCs/>
          <w:sz w:val="30"/>
          <w:szCs w:val="30"/>
        </w:rPr>
        <w:t>一是目标有引领。</w:t>
      </w:r>
      <w:r>
        <w:rPr>
          <w:rFonts w:hint="eastAsia" w:ascii="仿宋_GB2312" w:hAnsi="仿宋_GB2312" w:eastAsia="仿宋_GB2312" w:cs="仿宋_GB2312"/>
          <w:sz w:val="30"/>
          <w:szCs w:val="30"/>
        </w:rPr>
        <w:t>在全省率先制定符合湖州实际的“五年倍增行动”计划，力争通过五年努力，实现上市企业家数和并购重组金额倍增的目标，到2021年末，境内外上市公司达到60家，实现双倍增。</w:t>
      </w:r>
      <w:r>
        <w:rPr>
          <w:rFonts w:hint="eastAsia" w:ascii="仿宋_GB2312" w:hAnsi="仿宋_GB2312" w:eastAsia="仿宋_GB2312" w:cs="仿宋_GB2312"/>
          <w:b/>
          <w:bCs/>
          <w:sz w:val="30"/>
          <w:szCs w:val="30"/>
        </w:rPr>
        <w:t>二是政策有支持。</w:t>
      </w:r>
      <w:r>
        <w:rPr>
          <w:rFonts w:hint="eastAsia" w:ascii="仿宋_GB2312" w:hAnsi="仿宋_GB2312" w:eastAsia="仿宋_GB2312" w:cs="仿宋_GB2312"/>
          <w:kern w:val="0"/>
          <w:sz w:val="30"/>
          <w:szCs w:val="30"/>
        </w:rPr>
        <w:t>研究出台进一步支持企业上市挂牌的十条意见，涵盖股份制改造、辅导备案到成功挂牌上市、融资、并购全过程；各县区出台相应配套政策，提高上市奖励力度，最高奖励金额达1500万元。</w:t>
      </w:r>
      <w:r>
        <w:rPr>
          <w:rFonts w:hint="eastAsia" w:ascii="仿宋_GB2312" w:hAnsi="仿宋_GB2312" w:eastAsia="仿宋_GB2312" w:cs="仿宋_GB2312"/>
          <w:b/>
          <w:bCs/>
          <w:sz w:val="30"/>
          <w:szCs w:val="30"/>
        </w:rPr>
        <w:t>三是企业有规划。</w:t>
      </w:r>
      <w:r>
        <w:rPr>
          <w:rFonts w:hint="eastAsia" w:ascii="仿宋_GB2312" w:hAnsi="仿宋_GB2312" w:eastAsia="仿宋_GB2312" w:cs="仿宋_GB2312"/>
          <w:sz w:val="30"/>
          <w:szCs w:val="30"/>
        </w:rPr>
        <w:t>鼓励有能力的上市后备企业将挂牌上市作为提升企业发展质量的重要途径，指导企业制定上市短期、长期计划，有规划、有步骤地引导企业积极对接资本市场，确保上市步伐“又稳又快”。目前，已帮助55家上市后备企业制定了上市规划，明确了上市方向、路径和措施。</w:t>
      </w:r>
    </w:p>
    <w:p>
      <w:pPr>
        <w:spacing w:line="560" w:lineRule="exact"/>
        <w:ind w:firstLine="602" w:firstLineChars="200"/>
        <w:rPr>
          <w:rFonts w:hint="eastAsia" w:ascii="仿宋_GB2312" w:hAnsi="仿宋" w:eastAsia="仿宋_GB2312"/>
          <w:sz w:val="30"/>
          <w:szCs w:val="30"/>
        </w:rPr>
      </w:pPr>
      <w:r>
        <w:rPr>
          <w:rFonts w:hint="eastAsia" w:ascii="楷体_GB2312" w:hAnsi="Times New Roman" w:eastAsia="楷体_GB2312"/>
          <w:b/>
          <w:bCs/>
          <w:sz w:val="30"/>
          <w:szCs w:val="30"/>
        </w:rPr>
        <w:t>（二）结合梯度培育，打造后备资源库</w:t>
      </w:r>
      <w:r>
        <w:rPr>
          <w:rFonts w:hint="eastAsia" w:ascii="楷体_GB2312" w:hAnsi="Times New Roman" w:eastAsia="楷体_GB2312"/>
          <w:b/>
          <w:bCs/>
          <w:sz w:val="30"/>
          <w:szCs w:val="30"/>
          <w:lang w:eastAsia="zh-CN"/>
        </w:rPr>
        <w:t>。</w:t>
      </w:r>
      <w:r>
        <w:rPr>
          <w:rFonts w:hint="eastAsia" w:ascii="仿宋_GB2312" w:hAnsi="仿宋" w:eastAsia="仿宋_GB2312"/>
          <w:sz w:val="30"/>
          <w:szCs w:val="30"/>
        </w:rPr>
        <w:t>深入挖掘成长性良好的优质企业，加强培训培育，推动规范化股改，并按照上市挂牌各阶段，建立清单式培育档案，形成上市挂牌企业后备库。今年上半年新增股份制公司63家，形成了103家拟挂牌上市后备企业资源库。</w:t>
      </w:r>
      <w:r>
        <w:rPr>
          <w:rFonts w:hint="eastAsia" w:ascii="仿宋_GB2312" w:hAnsi="仿宋" w:eastAsia="仿宋_GB2312" w:cs="仿宋_GB2312"/>
          <w:b/>
          <w:bCs/>
          <w:sz w:val="30"/>
          <w:szCs w:val="30"/>
        </w:rPr>
        <w:t>一是狠抓龙头引领。</w:t>
      </w:r>
      <w:r>
        <w:rPr>
          <w:rFonts w:hint="eastAsia" w:ascii="仿宋_GB2312" w:hAnsi="仿宋" w:eastAsia="仿宋_GB2312" w:cs="仿宋_GB2312"/>
          <w:sz w:val="30"/>
          <w:szCs w:val="30"/>
        </w:rPr>
        <w:t>瞄准各县区主导产业和主要经济增长领域，深入</w:t>
      </w:r>
      <w:r>
        <w:rPr>
          <w:rFonts w:hint="eastAsia" w:ascii="仿宋_GB2312" w:hAnsi="仿宋" w:eastAsia="仿宋_GB2312"/>
          <w:sz w:val="30"/>
          <w:szCs w:val="30"/>
        </w:rPr>
        <w:t>挖掘成长性细分行业龙头，形成清单式培育库，目前在新能源汽车及关键零部件、现代物流装备、绿色家居、美妆时尚、生物医药等每个重点产业均有多家企业入库。</w:t>
      </w:r>
      <w:r>
        <w:rPr>
          <w:rFonts w:hint="eastAsia" w:ascii="仿宋_GB2312" w:hAnsi="仿宋" w:eastAsia="仿宋_GB2312" w:cs="仿宋_GB2312"/>
          <w:b/>
          <w:bCs/>
          <w:sz w:val="30"/>
          <w:szCs w:val="30"/>
        </w:rPr>
        <w:t>二是聚焦“双高”培育。</w:t>
      </w:r>
      <w:r>
        <w:rPr>
          <w:rFonts w:hint="eastAsia" w:ascii="仿宋_GB2312" w:hAnsi="仿宋" w:eastAsia="仿宋_GB2312"/>
          <w:kern w:val="0"/>
          <w:sz w:val="30"/>
          <w:szCs w:val="30"/>
        </w:rPr>
        <w:t>鼓励高科技、高成长的工业“双高”企业积极对接资本市场，完善规范管理，加快股改上市，</w:t>
      </w:r>
      <w:r>
        <w:rPr>
          <w:rFonts w:hint="eastAsia" w:ascii="仿宋_GB2312" w:hAnsi="仿宋" w:eastAsia="仿宋_GB2312" w:cs="仿宋_GB2312"/>
          <w:kern w:val="0"/>
          <w:sz w:val="30"/>
          <w:szCs w:val="30"/>
        </w:rPr>
        <w:t>目前“双高”培育企业共上市挂牌73家，其中上市企业6家，占全市上市总数18.75%，52家“双高”企业列入后备清单。</w:t>
      </w:r>
      <w:r>
        <w:rPr>
          <w:rFonts w:hint="eastAsia" w:ascii="仿宋_GB2312" w:hAnsi="仿宋" w:eastAsia="仿宋_GB2312" w:cs="仿宋_GB2312"/>
          <w:b/>
          <w:bCs/>
          <w:sz w:val="30"/>
          <w:szCs w:val="30"/>
        </w:rPr>
        <w:t>三是搭建平台助推。</w:t>
      </w:r>
      <w:r>
        <w:rPr>
          <w:rFonts w:hint="eastAsia" w:ascii="仿宋_GB2312" w:hAnsi="仿宋" w:eastAsia="仿宋_GB2312" w:cs="仿宋_GB2312"/>
          <w:kern w:val="0"/>
          <w:sz w:val="30"/>
          <w:szCs w:val="30"/>
        </w:rPr>
        <w:t>建立企业上市培训平台，根据企业不同需求，提供菜单式培训方案，提升企业上市能力，今年以来，全市共开展培训12次，参训企业600家次；建立资本项目线上、线下对接平台和知名投资机构资源库，挖掘各阶段优质企业和项目，通过微信推送和线下路演，与投资机构开展全方位对接，为企业提高股权融资效率，培育企业发展壮大，尽早走向资本市场</w:t>
      </w:r>
      <w:r>
        <w:rPr>
          <w:rFonts w:hint="eastAsia" w:ascii="仿宋_GB2312" w:hAnsi="仿宋" w:eastAsia="仿宋_GB2312"/>
          <w:bCs/>
          <w:sz w:val="30"/>
          <w:szCs w:val="30"/>
        </w:rPr>
        <w:t>。全市共开展对接50次，成功对接股权融资5.38亿。</w:t>
      </w:r>
    </w:p>
    <w:p>
      <w:pPr>
        <w:spacing w:line="560" w:lineRule="exact"/>
        <w:ind w:firstLine="602" w:firstLineChars="200"/>
        <w:rPr>
          <w:rFonts w:hint="eastAsia" w:ascii="仿宋_GB2312" w:hAnsi="仿宋_GB2312" w:cs="仿宋_GB2312"/>
          <w:spacing w:val="-8"/>
          <w:kern w:val="0"/>
          <w:sz w:val="30"/>
          <w:szCs w:val="30"/>
          <w:lang w:val="en-US" w:eastAsia="zh-CN"/>
        </w:rPr>
      </w:pPr>
      <w:r>
        <w:rPr>
          <w:rFonts w:hint="eastAsia" w:ascii="楷体_GB2312" w:hAnsi="Times New Roman" w:eastAsia="楷体_GB2312"/>
          <w:b/>
          <w:bCs/>
          <w:sz w:val="30"/>
          <w:szCs w:val="30"/>
        </w:rPr>
        <w:t>（三）优化服务流程，打造上市快车道</w:t>
      </w:r>
      <w:r>
        <w:rPr>
          <w:rFonts w:hint="eastAsia" w:ascii="楷体_GB2312" w:hAnsi="Times New Roman" w:eastAsia="楷体_GB2312"/>
          <w:b/>
          <w:bCs/>
          <w:sz w:val="30"/>
          <w:szCs w:val="30"/>
          <w:lang w:eastAsia="zh-CN"/>
        </w:rPr>
        <w:t>。</w:t>
      </w:r>
      <w:r>
        <w:rPr>
          <w:rFonts w:hint="eastAsia" w:ascii="仿宋_GB2312" w:hAnsi="仿宋_GB2312" w:eastAsia="仿宋_GB2312" w:cs="仿宋_GB2312"/>
          <w:b/>
          <w:bCs/>
          <w:sz w:val="30"/>
          <w:szCs w:val="30"/>
        </w:rPr>
        <w:t>一是政府方面，强化协调服务。</w:t>
      </w:r>
      <w:r>
        <w:rPr>
          <w:rFonts w:hint="eastAsia" w:ascii="仿宋_GB2312" w:hAnsi="仿宋_GB2312" w:eastAsia="仿宋_GB2312" w:cs="仿宋_GB2312"/>
          <w:sz w:val="30"/>
          <w:szCs w:val="30"/>
        </w:rPr>
        <w:t>建立市、县（区）、乡镇三级联动的推进机制，结合“最多跑一次”改革，开通“绿色通道”，优化审批备案等重点环节，有效缩短时间，切实提升企业上市时效。如，创新工作预案法，对可预见问题提前讨论、一站式办理，综合性特别问题3天内回复受理；安吉县优化上市企业各审批环节，拟上市企业募投项目完成审批备案从原来的6个月缩减到3个月以内。高效推进土地农转报批流程，审批时限从30天缩减至15天；优化规划、建筑设计方案审批流程，缩减5个环节、20项材料，审批提速30天；在拟上市企业试点推出方案报备及施工许可承诺制改革，推进项目提前开工；深化推进“区域环评+环境标准”改革，如，提前介入天草生物三期项目环评审批工作，在环评报告编制阶段采用初稿预审核，专项核准天草审批涉及总量问题，重点分析项目产排废气、废水环节，削减项目排放的总量指标，优先安排其项目评审。</w:t>
      </w:r>
      <w:r>
        <w:rPr>
          <w:rFonts w:hint="eastAsia" w:ascii="仿宋_GB2312" w:hAnsi="仿宋_GB2312" w:eastAsia="仿宋_GB2312" w:cs="仿宋_GB2312"/>
          <w:b/>
          <w:bCs/>
          <w:sz w:val="30"/>
          <w:szCs w:val="30"/>
        </w:rPr>
        <w:t>二是中介方面，强化专业服务。</w:t>
      </w:r>
      <w:r>
        <w:rPr>
          <w:rFonts w:hint="eastAsia" w:ascii="仿宋_GB2312" w:hAnsi="仿宋_GB2312" w:eastAsia="仿宋_GB2312" w:cs="仿宋_GB2312"/>
          <w:kern w:val="0"/>
          <w:sz w:val="30"/>
          <w:szCs w:val="30"/>
        </w:rPr>
        <w:t>着力加强与中介机构的沟通、协调，切实解决好因中介机构自身原因造成首发申请保荐材料质量不高、审核速度慢、过会率下降等问题。如，该市德清县根据A股上市要求高的严峻态势，在跟踪做好企业境内上市工作进程的同时，主攻境外上市，今年先后邀请中介机构团队，走访县内十多家企业，深入交流引导，目前已有两家企业签约启动上市工作，力争年内成功境外上市；如，</w:t>
      </w:r>
      <w:r>
        <w:rPr>
          <w:rFonts w:hint="eastAsia" w:ascii="仿宋_GB2312" w:hAnsi="仿宋_GB2312" w:eastAsia="仿宋_GB2312" w:cs="仿宋_GB2312"/>
          <w:spacing w:val="-8"/>
          <w:kern w:val="0"/>
          <w:sz w:val="30"/>
          <w:szCs w:val="30"/>
        </w:rPr>
        <w:t>对香飘飘、东尼电子等重点拟上市企业，中介“一对一”全程参与企业启动、股改、报会等重要节点，并出具上市“上市诊断书”，为解决上市问题提供专业指导。</w:t>
      </w:r>
      <w:r>
        <w:rPr>
          <w:rFonts w:hint="eastAsia" w:ascii="仿宋_GB2312" w:hAnsi="仿宋_GB2312" w:cs="仿宋_GB2312"/>
          <w:spacing w:val="-8"/>
          <w:kern w:val="0"/>
          <w:sz w:val="30"/>
          <w:szCs w:val="30"/>
          <w:lang w:val="en-US" w:eastAsia="zh-CN"/>
        </w:rPr>
        <w:t xml:space="preserve">                       </w:t>
      </w:r>
    </w:p>
    <w:p>
      <w:pPr>
        <w:spacing w:line="560" w:lineRule="exact"/>
        <w:ind w:firstLine="568" w:firstLineChars="200"/>
        <w:jc w:val="right"/>
        <w:rPr>
          <w:rFonts w:hint="default" w:ascii="仿宋_GB2312" w:hAnsi="仿宋_GB2312" w:cs="仿宋_GB2312"/>
          <w:spacing w:val="-8"/>
          <w:kern w:val="0"/>
          <w:sz w:val="30"/>
          <w:szCs w:val="30"/>
          <w:lang w:val="en-US" w:eastAsia="zh-CN"/>
        </w:rPr>
      </w:pPr>
      <w:r>
        <w:rPr>
          <w:rFonts w:hint="eastAsia" w:ascii="仿宋_GB2312" w:hAnsi="仿宋_GB2312" w:cs="仿宋_GB2312"/>
          <w:spacing w:val="-8"/>
          <w:kern w:val="0"/>
          <w:sz w:val="30"/>
          <w:szCs w:val="30"/>
          <w:lang w:val="en-US" w:eastAsia="zh-CN"/>
        </w:rPr>
        <w:t>（资本市场处、综合处）</w:t>
      </w:r>
    </w:p>
    <w:p>
      <w:pPr>
        <w:keepNext w:val="0"/>
        <w:keepLines w:val="0"/>
        <w:pageBreakBefore w:val="0"/>
        <w:kinsoku/>
        <w:wordWrap/>
        <w:overflowPunct/>
        <w:topLinePunct w:val="0"/>
        <w:autoSpaceDE w:val="0"/>
        <w:autoSpaceDN/>
        <w:bidi w:val="0"/>
        <w:adjustRightInd/>
        <w:snapToGrid/>
        <w:spacing w:beforeAutospacing="0" w:afterAutospacing="0" w:line="540" w:lineRule="exact"/>
        <w:ind w:right="0" w:rightChars="0"/>
        <w:jc w:val="center"/>
        <w:textAlignment w:val="auto"/>
        <w:rPr>
          <w:rStyle w:val="13"/>
          <w:rFonts w:hint="default" w:ascii="Times New Roman" w:hAnsi="Times New Roman" w:cs="Times New Roman"/>
          <w:sz w:val="32"/>
          <w:highlight w:val="none"/>
        </w:rPr>
      </w:pPr>
      <w:bookmarkStart w:id="44" w:name="_Toc16667"/>
      <w:bookmarkStart w:id="45" w:name="_Toc29550"/>
      <w:bookmarkStart w:id="46" w:name="_Toc20325"/>
      <w:bookmarkStart w:id="47" w:name="_Toc3213"/>
      <w:r>
        <w:rPr>
          <w:rStyle w:val="13"/>
          <w:rFonts w:hint="default" w:ascii="Times New Roman" w:hAnsi="Times New Roman" w:cs="Times New Roman"/>
          <w:highlight w:val="none"/>
        </w:rPr>
        <w:t>●</w:t>
      </w:r>
      <w:r>
        <w:rPr>
          <w:rStyle w:val="13"/>
          <w:rFonts w:hint="default" w:ascii="Times New Roman" w:hAnsi="Times New Roman" w:cs="Times New Roman"/>
          <w:sz w:val="32"/>
          <w:highlight w:val="none"/>
        </w:rPr>
        <w:t>安吉县做好绿色金融“三篇文章”</w:t>
      </w:r>
      <w:r>
        <w:rPr>
          <w:rStyle w:val="13"/>
          <w:rFonts w:hint="eastAsia" w:eastAsia="方正小标宋简体" w:cs="Times New Roman"/>
          <w:sz w:val="32"/>
          <w:highlight w:val="none"/>
          <w:lang w:val="en-US" w:eastAsia="zh-CN"/>
        </w:rPr>
        <w:t xml:space="preserve"> </w:t>
      </w:r>
      <w:r>
        <w:rPr>
          <w:rStyle w:val="13"/>
          <w:rFonts w:hint="default" w:ascii="Times New Roman" w:hAnsi="Times New Roman" w:cs="Times New Roman"/>
          <w:sz w:val="32"/>
          <w:highlight w:val="none"/>
        </w:rPr>
        <w:t>助推“乡村振兴”</w:t>
      </w:r>
    </w:p>
    <w:bookmarkEnd w:id="44"/>
    <w:bookmarkEnd w:id="45"/>
    <w:bookmarkEnd w:id="46"/>
    <w:bookmarkEnd w:id="47"/>
    <w:p>
      <w:pPr>
        <w:keepNext w:val="0"/>
        <w:keepLines w:val="0"/>
        <w:pageBreakBefore w:val="0"/>
        <w:kinsoku/>
        <w:wordWrap/>
        <w:overflowPunct/>
        <w:topLinePunct w:val="0"/>
        <w:autoSpaceDE w:val="0"/>
        <w:autoSpaceDN/>
        <w:bidi w:val="0"/>
        <w:adjustRightInd/>
        <w:snapToGrid/>
        <w:spacing w:beforeAutospacing="0" w:afterAutospacing="0" w:line="540" w:lineRule="exact"/>
        <w:ind w:right="0" w:rightChars="0"/>
        <w:jc w:val="both"/>
        <w:textAlignment w:val="auto"/>
        <w:rPr>
          <w:rFonts w:hint="eastAsia" w:ascii="仿宋_GB2312" w:hAnsi="仿宋_GB2312" w:eastAsia="仿宋_GB2312" w:cs="仿宋_GB2312"/>
          <w:bCs/>
          <w:sz w:val="30"/>
          <w:szCs w:val="30"/>
        </w:rPr>
      </w:pPr>
      <w:r>
        <w:rPr>
          <w:rFonts w:hint="eastAsia" w:ascii="楷体_GB2312" w:hAnsi="楷体_GB2312" w:eastAsia="楷体_GB2312" w:cs="楷体_GB2312"/>
          <w:b/>
          <w:sz w:val="30"/>
          <w:szCs w:val="30"/>
        </w:rPr>
        <w:t>一是坚持政策先行，做好制度环境创新文章。</w:t>
      </w:r>
      <w:r>
        <w:rPr>
          <w:rFonts w:hint="eastAsia" w:ascii="仿宋_GB2312" w:hAnsi="仿宋_GB2312" w:eastAsia="仿宋_GB2312" w:cs="仿宋_GB2312"/>
          <w:bCs/>
          <w:sz w:val="30"/>
          <w:szCs w:val="30"/>
        </w:rPr>
        <w:t>制定出台了《安吉县金融支持服务乡村振兴战略的实施意见》，</w:t>
      </w:r>
      <w:bookmarkStart w:id="70" w:name="_GoBack"/>
      <w:bookmarkEnd w:id="70"/>
      <w:r>
        <w:rPr>
          <w:rFonts w:hint="eastAsia" w:ascii="仿宋_GB2312" w:hAnsi="仿宋_GB2312" w:eastAsia="仿宋_GB2312" w:cs="仿宋_GB2312"/>
          <w:bCs/>
          <w:sz w:val="30"/>
          <w:szCs w:val="30"/>
        </w:rPr>
        <w:t>为绿色金融如何服务助力乡村振兴提供了工作指引。并在即将实施的《安吉县推动绿色金融改革创新的若干意见》中，对绿色金融支持乡村振兴的创新产品进行必要的鼓励和引导。比如，对原创性、在省市有较大影响的金融产品与服务开展评先评优，单只产品奖励达20万元。</w:t>
      </w:r>
    </w:p>
    <w:p>
      <w:pPr>
        <w:keepNext w:val="0"/>
        <w:keepLines w:val="0"/>
        <w:pageBreakBefore w:val="0"/>
        <w:kinsoku/>
        <w:wordWrap/>
        <w:overflowPunct/>
        <w:topLinePunct w:val="0"/>
        <w:autoSpaceDE w:val="0"/>
        <w:autoSpaceDN/>
        <w:bidi w:val="0"/>
        <w:adjustRightInd/>
        <w:snapToGrid/>
        <w:spacing w:beforeAutospacing="0" w:afterAutospacing="0" w:line="540" w:lineRule="exact"/>
        <w:ind w:right="0" w:rightChars="0"/>
        <w:jc w:val="both"/>
        <w:textAlignment w:val="auto"/>
        <w:rPr>
          <w:rFonts w:hint="eastAsia" w:ascii="仿宋_GB2312" w:hAnsi="仿宋_GB2312" w:eastAsia="仿宋_GB2312" w:cs="仿宋_GB2312"/>
          <w:bCs/>
          <w:sz w:val="30"/>
          <w:szCs w:val="30"/>
        </w:rPr>
      </w:pPr>
      <w:r>
        <w:rPr>
          <w:rFonts w:hint="eastAsia" w:ascii="楷体_GB2312" w:hAnsi="楷体_GB2312" w:eastAsia="楷体_GB2312" w:cs="楷体_GB2312"/>
          <w:b/>
          <w:sz w:val="30"/>
          <w:szCs w:val="30"/>
        </w:rPr>
        <w:t>二是坚持因地制宜，做好产品服务创新文章。</w:t>
      </w:r>
      <w:r>
        <w:rPr>
          <w:rFonts w:hint="eastAsia" w:ascii="仿宋_GB2312" w:hAnsi="仿宋_GB2312" w:eastAsia="仿宋_GB2312" w:cs="仿宋_GB2312"/>
          <w:bCs/>
          <w:sz w:val="30"/>
          <w:szCs w:val="30"/>
        </w:rPr>
        <w:t>积极鼓励引导辖内金融机构创新适农金融产品，针对农民专业合作社、白茶产业链经营主体、农家乐民宿、家庭农场等新型主体，加大推广一系列绿色惠农产品。例如，安吉农商行力推的“丰收彩虹贷”实际惠及农户超过35000户，授信金额超过120亿元，实际用信金额超过47亿元，而不良率仅为0.24%；安吉农行与国信政策性融资担保公司联合推出了全市首个“绿色保”业务，优先支持茶叶种植户、农家乐经营户等生态农业小微企业，有效缓解此类农业经营主体担保难问题。</w:t>
      </w:r>
    </w:p>
    <w:p>
      <w:pPr>
        <w:keepNext w:val="0"/>
        <w:keepLines w:val="0"/>
        <w:pageBreakBefore w:val="0"/>
        <w:kinsoku/>
        <w:wordWrap/>
        <w:overflowPunct/>
        <w:topLinePunct w:val="0"/>
        <w:autoSpaceDE w:val="0"/>
        <w:autoSpaceDN/>
        <w:bidi w:val="0"/>
        <w:adjustRightInd/>
        <w:snapToGrid/>
        <w:spacing w:beforeAutospacing="0" w:afterAutospacing="0" w:line="540" w:lineRule="exact"/>
        <w:ind w:right="0" w:rightChars="0"/>
        <w:jc w:val="both"/>
        <w:textAlignment w:val="auto"/>
        <w:rPr>
          <w:rFonts w:hint="eastAsia" w:ascii="仿宋_GB2312" w:hAnsi="仿宋_GB2312" w:cs="仿宋_GB2312"/>
          <w:bCs/>
          <w:sz w:val="30"/>
          <w:szCs w:val="30"/>
          <w:lang w:val="en-US" w:eastAsia="zh-CN"/>
        </w:rPr>
      </w:pPr>
      <w:r>
        <w:rPr>
          <w:rFonts w:hint="eastAsia" w:ascii="楷体_GB2312" w:hAnsi="楷体_GB2312" w:eastAsia="楷体_GB2312" w:cs="楷体_GB2312"/>
          <w:b/>
          <w:sz w:val="30"/>
          <w:szCs w:val="30"/>
        </w:rPr>
        <w:t>三是坚持以量保质，做好农村产业融资渠道创新文章。</w:t>
      </w:r>
      <w:r>
        <w:rPr>
          <w:rFonts w:hint="eastAsia" w:ascii="仿宋_GB2312" w:hAnsi="仿宋_GB2312" w:eastAsia="仿宋_GB2312" w:cs="仿宋_GB2312"/>
          <w:bCs/>
          <w:sz w:val="30"/>
          <w:szCs w:val="30"/>
        </w:rPr>
        <w:t>积极通过“两个市场”全力保障重点企业、项目资金需求，在更高层次上谋求金融服务助力乡村振兴战略。在资本市场方面，通过协助引进战略投资者、开展定向增发等方式为农业龙头企业永裕竹业引入股权投资1.22亿元，为宋茗白茶、山屿海、天草生物等企业进入资本市场提供保姆式服务。推出了全国县域首个“两山”实践示范县绿色发展基金、全省首个海绵城市绿色债、全省首个“绿色金融债”等一批债券、基金等产品创新合作项目；在传统信贷市场方面，积极引导县内金融机构助力田园综合体、农业园区、家庭农场等新型农村、农业主体项目建设，为乡村振兴战略的贯彻实施注入地方金融活力。截至目前，农行、中行等金融机构已对鲁家11个家庭农场及旅游项目提供各类信贷支持超过6000万元。</w:t>
      </w:r>
      <w:r>
        <w:rPr>
          <w:rFonts w:hint="eastAsia" w:ascii="仿宋_GB2312" w:hAnsi="仿宋_GB2312" w:cs="仿宋_GB2312"/>
          <w:bCs/>
          <w:sz w:val="30"/>
          <w:szCs w:val="30"/>
          <w:lang w:val="en-US" w:eastAsia="zh-CN"/>
        </w:rPr>
        <w:t xml:space="preserve">                            </w:t>
      </w:r>
    </w:p>
    <w:p>
      <w:pPr>
        <w:keepNext w:val="0"/>
        <w:keepLines w:val="0"/>
        <w:pageBreakBefore w:val="0"/>
        <w:kinsoku/>
        <w:wordWrap/>
        <w:overflowPunct/>
        <w:topLinePunct w:val="0"/>
        <w:autoSpaceDE w:val="0"/>
        <w:autoSpaceDN/>
        <w:bidi w:val="0"/>
        <w:adjustRightInd/>
        <w:snapToGrid/>
        <w:spacing w:beforeAutospacing="0" w:afterAutospacing="0" w:line="540" w:lineRule="exact"/>
        <w:ind w:right="0" w:rightChars="0"/>
        <w:jc w:val="right"/>
        <w:textAlignment w:val="auto"/>
        <w:rPr>
          <w:rFonts w:hint="eastAsia" w:ascii="仿宋_GB2312" w:hAnsi="仿宋_GB2312" w:eastAsia="仿宋_GB2312" w:cs="仿宋_GB2312"/>
          <w:bCs/>
          <w:sz w:val="30"/>
          <w:szCs w:val="30"/>
        </w:rPr>
      </w:pPr>
      <w:r>
        <w:rPr>
          <w:rFonts w:hint="eastAsia" w:ascii="仿宋_GB2312" w:hAnsi="仿宋_GB2312" w:cs="仿宋_GB2312"/>
          <w:bCs/>
          <w:sz w:val="30"/>
          <w:szCs w:val="30"/>
          <w:lang w:val="en-US" w:eastAsia="zh-CN"/>
        </w:rPr>
        <w:t xml:space="preserve"> </w:t>
      </w:r>
      <w:r>
        <w:rPr>
          <w:rFonts w:hint="eastAsia" w:ascii="仿宋_GB2312" w:hAnsi="仿宋_GB2312" w:eastAsia="仿宋_GB2312" w:cs="仿宋_GB2312"/>
          <w:bCs/>
          <w:sz w:val="30"/>
          <w:szCs w:val="30"/>
          <w:lang w:val="en-US" w:eastAsia="zh-CN"/>
        </w:rPr>
        <w:t>（安吉县金融办）</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rPr>
          <w:rFonts w:hint="default" w:ascii="Times New Roman" w:hAnsi="Times New Roman" w:cs="Times New Roman"/>
          <w:b w:val="0"/>
        </w:rPr>
      </w:pPr>
      <w:bookmarkStart w:id="48" w:name="_Toc14121"/>
      <w:r>
        <w:rPr>
          <w:rFonts w:hint="default" w:ascii="Times New Roman" w:hAnsi="Times New Roman" w:cs="Times New Roman"/>
          <w:b w:val="0"/>
        </w:rPr>
        <w:t>【金融机构】</w:t>
      </w:r>
      <w:bookmarkEnd w:id="27"/>
      <w:bookmarkEnd w:id="28"/>
      <w:bookmarkEnd w:id="29"/>
      <w:bookmarkEnd w:id="30"/>
      <w:bookmarkEnd w:id="31"/>
      <w:bookmarkEnd w:id="32"/>
      <w:bookmarkEnd w:id="33"/>
      <w:bookmarkEnd w:id="38"/>
      <w:bookmarkEnd w:id="39"/>
      <w:bookmarkEnd w:id="48"/>
      <w:bookmarkStart w:id="49" w:name="_Toc17742"/>
      <w:bookmarkStart w:id="50" w:name="_Toc5021"/>
      <w:bookmarkStart w:id="51" w:name="_Toc30648"/>
      <w:bookmarkStart w:id="52" w:name="_Toc25859"/>
      <w:bookmarkStart w:id="53" w:name="_Toc1333"/>
    </w:p>
    <w:p>
      <w:pPr>
        <w:keepNext w:val="0"/>
        <w:keepLines w:val="0"/>
        <w:pageBreakBefore w:val="0"/>
        <w:kinsoku/>
        <w:wordWrap/>
        <w:overflowPunct/>
        <w:topLinePunct w:val="0"/>
        <w:autoSpaceDN/>
        <w:bidi w:val="0"/>
        <w:adjustRightInd/>
        <w:snapToGrid/>
        <w:spacing w:line="540" w:lineRule="exact"/>
        <w:ind w:right="0" w:rightChars="0"/>
        <w:jc w:val="both"/>
        <w:textAlignment w:val="auto"/>
        <w:rPr>
          <w:rFonts w:hint="default" w:ascii="Times New Roman" w:hAnsi="Times New Roman" w:cs="Times New Roman"/>
          <w:szCs w:val="30"/>
          <w:lang w:val="en-US" w:eastAsia="zh-CN"/>
        </w:rPr>
      </w:pPr>
      <w:bookmarkStart w:id="54" w:name="_Toc2606"/>
      <w:bookmarkStart w:id="55" w:name="_Toc22155"/>
      <w:bookmarkStart w:id="56" w:name="_Toc894"/>
      <w:bookmarkStart w:id="57" w:name="_Toc4785"/>
      <w:bookmarkStart w:id="58" w:name="_Toc1518"/>
      <w:r>
        <w:rPr>
          <w:rStyle w:val="13"/>
          <w:rFonts w:hint="default" w:ascii="Times New Roman" w:hAnsi="Times New Roman" w:cs="Times New Roman"/>
        </w:rPr>
        <w:t>●农发行信贷支农成效显著</w:t>
      </w:r>
      <w:bookmarkEnd w:id="54"/>
      <w:bookmarkEnd w:id="55"/>
      <w:bookmarkEnd w:id="56"/>
      <w:bookmarkEnd w:id="57"/>
      <w:bookmarkEnd w:id="58"/>
      <w:r>
        <w:rPr>
          <w:rFonts w:hint="eastAsia" w:cs="Times New Roman"/>
          <w:b/>
          <w:bCs/>
          <w:szCs w:val="30"/>
          <w:lang w:val="en-US" w:eastAsia="zh-CN"/>
        </w:rPr>
        <w:t>。</w:t>
      </w:r>
      <w:bookmarkStart w:id="59" w:name="_Toc2942"/>
      <w:r>
        <w:rPr>
          <w:rFonts w:hint="default" w:ascii="Times New Roman" w:hAnsi="Times New Roman" w:cs="Times New Roman"/>
          <w:szCs w:val="30"/>
          <w:lang w:val="en-US" w:eastAsia="zh-CN"/>
        </w:rPr>
        <w:t>近年来，农发行湖州市分行发挥农业政策性金融职能优势，积极争取更多政策优惠和资金规模，精准对接湖州“三农”发展需求，加大加快支农投入</w:t>
      </w:r>
      <w:r>
        <w:rPr>
          <w:rFonts w:hint="eastAsia" w:cs="Times New Roman"/>
          <w:szCs w:val="30"/>
          <w:lang w:val="en-US" w:eastAsia="zh-CN"/>
        </w:rPr>
        <w:t>，</w:t>
      </w:r>
      <w:r>
        <w:rPr>
          <w:rFonts w:hint="default" w:ascii="Times New Roman" w:hAnsi="Times New Roman" w:cs="Times New Roman"/>
          <w:szCs w:val="30"/>
          <w:lang w:val="en-US" w:eastAsia="zh-CN"/>
        </w:rPr>
        <w:t>连续三年保持了年度10亿元以上的支农净增长额，重点支持了县域新型城镇化建设、水环境综合治理、棚户区（城中村）改造等民生项目。2018年以来，累计发放各类贷款20.5亿元；截至5月末，全行贷款余额121.43亿元，比年初增加14.65亿元，增长13.73%。</w:t>
      </w:r>
    </w:p>
    <w:p>
      <w:pPr>
        <w:keepNext w:val="0"/>
        <w:keepLines w:val="0"/>
        <w:pageBreakBefore w:val="0"/>
        <w:kinsoku/>
        <w:wordWrap/>
        <w:overflowPunct/>
        <w:topLinePunct w:val="0"/>
        <w:autoSpaceDN/>
        <w:bidi w:val="0"/>
        <w:adjustRightInd/>
        <w:snapToGrid/>
        <w:spacing w:line="540" w:lineRule="exact"/>
        <w:ind w:right="0" w:rightChars="0"/>
        <w:jc w:val="both"/>
        <w:textAlignment w:val="auto"/>
        <w:rPr>
          <w:rFonts w:hint="default" w:ascii="Times New Roman" w:hAnsi="Times New Roman" w:cs="Times New Roman"/>
          <w:szCs w:val="30"/>
          <w:lang w:val="en-US" w:eastAsia="zh-CN"/>
        </w:rPr>
      </w:pPr>
      <w:r>
        <w:rPr>
          <w:rFonts w:hint="eastAsia" w:cs="Times New Roman"/>
          <w:szCs w:val="30"/>
          <w:lang w:val="en-US" w:eastAsia="zh-CN"/>
        </w:rPr>
        <w:t xml:space="preserve">                               </w:t>
      </w:r>
      <w:r>
        <w:rPr>
          <w:rFonts w:hint="default" w:ascii="Times New Roman" w:hAnsi="Times New Roman" w:cs="Times New Roman"/>
          <w:szCs w:val="30"/>
          <w:lang w:val="en-US" w:eastAsia="zh-CN"/>
        </w:rPr>
        <w:t>（农发行湖州市分行）</w:t>
      </w:r>
    </w:p>
    <w:p>
      <w:pPr>
        <w:keepNext w:val="0"/>
        <w:keepLines w:val="0"/>
        <w:pageBreakBefore w:val="0"/>
        <w:kinsoku/>
        <w:wordWrap/>
        <w:overflowPunct/>
        <w:topLinePunct w:val="0"/>
        <w:autoSpaceDN/>
        <w:bidi w:val="0"/>
        <w:adjustRightInd/>
        <w:snapToGrid/>
        <w:spacing w:line="540" w:lineRule="exact"/>
        <w:ind w:right="0" w:rightChars="0"/>
        <w:jc w:val="both"/>
        <w:textAlignment w:val="auto"/>
        <w:rPr>
          <w:rFonts w:hint="eastAsia" w:cs="Times New Roman"/>
          <w:szCs w:val="30"/>
          <w:lang w:val="en-US" w:eastAsia="zh-CN"/>
        </w:rPr>
      </w:pPr>
      <w:bookmarkStart w:id="60" w:name="_Toc6618"/>
      <w:bookmarkStart w:id="61" w:name="_Toc5149"/>
      <w:bookmarkStart w:id="62" w:name="_Toc3228"/>
      <w:bookmarkStart w:id="63" w:name="_Toc13625"/>
      <w:bookmarkStart w:id="64" w:name="_Toc19646"/>
      <w:r>
        <w:rPr>
          <w:rStyle w:val="13"/>
          <w:rFonts w:hint="default" w:ascii="Times New Roman" w:hAnsi="Times New Roman" w:cs="Times New Roman"/>
        </w:rPr>
        <w:t>●</w:t>
      </w:r>
      <w:r>
        <w:rPr>
          <w:rStyle w:val="13"/>
          <w:rFonts w:hint="default" w:ascii="Times New Roman" w:hAnsi="Times New Roman" w:cs="Times New Roman"/>
          <w:lang w:val="en-US" w:eastAsia="zh-CN"/>
        </w:rPr>
        <w:t>交行湖州分行普惠金融亮点纷呈</w:t>
      </w:r>
      <w:bookmarkEnd w:id="60"/>
      <w:bookmarkEnd w:id="61"/>
      <w:bookmarkEnd w:id="62"/>
      <w:bookmarkEnd w:id="63"/>
      <w:bookmarkEnd w:id="64"/>
      <w:r>
        <w:rPr>
          <w:rFonts w:hint="eastAsia" w:cs="Times New Roman"/>
          <w:b/>
          <w:bCs/>
          <w:szCs w:val="30"/>
          <w:lang w:val="en-US" w:eastAsia="zh-CN"/>
        </w:rPr>
        <w:t>。</w:t>
      </w:r>
      <w:bookmarkEnd w:id="59"/>
      <w:r>
        <w:rPr>
          <w:rFonts w:hint="default" w:ascii="Times New Roman" w:hAnsi="Times New Roman" w:cs="Times New Roman"/>
          <w:szCs w:val="30"/>
          <w:lang w:val="en-US" w:eastAsia="zh-CN"/>
        </w:rPr>
        <w:t>今年以来，交通银行湖州分行认真推进“三个精品工程”落地，大力推广新产品，对接市级平台，积极发展普惠金融，取得了明显成效。</w:t>
      </w:r>
      <w:r>
        <w:rPr>
          <w:rFonts w:hint="default" w:ascii="Times New Roman" w:hAnsi="Times New Roman" w:cs="Times New Roman"/>
          <w:b/>
          <w:bCs/>
          <w:szCs w:val="30"/>
          <w:lang w:val="en-US" w:eastAsia="zh-CN"/>
        </w:rPr>
        <w:t>一是</w:t>
      </w:r>
      <w:r>
        <w:rPr>
          <w:rFonts w:hint="default" w:ascii="Times New Roman" w:hAnsi="Times New Roman" w:cs="Times New Roman"/>
          <w:szCs w:val="30"/>
          <w:lang w:val="en-US" w:eastAsia="zh-CN"/>
        </w:rPr>
        <w:t>积极推进主打类小微产品-快捷抵押贷，通过简化手续、优化流程等便利措施，做大做实小微实质性贷款业务。目前分行小微快捷抵押贷业务客户数73户，较年初增27户；贷款余额1.23亿，较年初增5223万元。</w:t>
      </w:r>
      <w:r>
        <w:rPr>
          <w:rFonts w:hint="default" w:ascii="Times New Roman" w:hAnsi="Times New Roman" w:cs="Times New Roman"/>
          <w:b/>
          <w:bCs/>
          <w:szCs w:val="30"/>
          <w:lang w:val="en-US" w:eastAsia="zh-CN"/>
        </w:rPr>
        <w:t>二是</w:t>
      </w:r>
      <w:r>
        <w:rPr>
          <w:rFonts w:hint="default" w:ascii="Times New Roman" w:hAnsi="Times New Roman" w:cs="Times New Roman"/>
          <w:szCs w:val="30"/>
          <w:lang w:val="en-US" w:eastAsia="zh-CN"/>
        </w:rPr>
        <w:t>围绕公司条线优质客户上下游挖掘小微业务机会，大力发展快捷保理、快捷贴现、代理付款等重点供应链产品，并辅以“快易收”、“快易付”、“快易贴”等线上新产品，提高业务处理效率。目前</w:t>
      </w:r>
      <w:r>
        <w:rPr>
          <w:rFonts w:hint="eastAsia" w:cs="Times New Roman"/>
          <w:szCs w:val="30"/>
          <w:lang w:val="en-US" w:eastAsia="zh-CN"/>
        </w:rPr>
        <w:t>分</w:t>
      </w:r>
      <w:r>
        <w:rPr>
          <w:rFonts w:hint="default" w:ascii="Times New Roman" w:hAnsi="Times New Roman" w:cs="Times New Roman"/>
          <w:szCs w:val="30"/>
          <w:lang w:val="en-US" w:eastAsia="zh-CN"/>
        </w:rPr>
        <w:t>行现有供应链项目3个，合计链属融资客户12户，贷款类余额2675.5万元。其中，开发区某供应链项目，拓展项目内客户10户，贷款类余额2563万元。</w:t>
      </w:r>
      <w:r>
        <w:rPr>
          <w:rFonts w:hint="default" w:ascii="Times New Roman" w:hAnsi="Times New Roman" w:cs="Times New Roman"/>
          <w:b/>
          <w:bCs/>
          <w:szCs w:val="30"/>
          <w:lang w:val="en-US" w:eastAsia="zh-CN"/>
        </w:rPr>
        <w:t>三是</w:t>
      </w:r>
      <w:r>
        <w:rPr>
          <w:rFonts w:hint="default" w:ascii="Times New Roman" w:hAnsi="Times New Roman" w:cs="Times New Roman"/>
          <w:szCs w:val="30"/>
          <w:lang w:val="en-US" w:eastAsia="zh-CN"/>
        </w:rPr>
        <w:t>积极配合市金融办"绿贷通"平台推进工作，组织各经营机构对接客户进行平台注册及发布融资需求，至6月1日，交行湖州分行已在平台对接客户约100户，仅5月下旬的2周时间内落实存量授信客户90户，有效推动金融服务“最多跑一次”工作。</w:t>
      </w:r>
      <w:r>
        <w:rPr>
          <w:rFonts w:hint="eastAsia" w:cs="Times New Roman"/>
          <w:szCs w:val="30"/>
          <w:lang w:val="en-US" w:eastAsia="zh-CN"/>
        </w:rPr>
        <w:t xml:space="preserve">       </w:t>
      </w:r>
    </w:p>
    <w:p>
      <w:pPr>
        <w:keepNext w:val="0"/>
        <w:keepLines w:val="0"/>
        <w:pageBreakBefore w:val="0"/>
        <w:kinsoku/>
        <w:wordWrap/>
        <w:overflowPunct/>
        <w:topLinePunct w:val="0"/>
        <w:autoSpaceDN/>
        <w:bidi w:val="0"/>
        <w:adjustRightInd/>
        <w:snapToGrid/>
        <w:spacing w:line="540" w:lineRule="exact"/>
        <w:ind w:right="0" w:rightChars="0" w:firstLine="5700" w:firstLineChars="1900"/>
        <w:jc w:val="both"/>
        <w:textAlignment w:val="auto"/>
        <w:rPr>
          <w:rFonts w:hint="default" w:ascii="Times New Roman" w:hAnsi="Times New Roman" w:cs="Times New Roman"/>
          <w:szCs w:val="30"/>
        </w:rPr>
      </w:pPr>
      <w:r>
        <w:rPr>
          <w:rFonts w:hint="eastAsia" w:cs="Times New Roman"/>
          <w:szCs w:val="30"/>
          <w:lang w:val="en-US" w:eastAsia="zh-CN"/>
        </w:rPr>
        <w:t xml:space="preserve"> </w:t>
      </w:r>
      <w:r>
        <w:rPr>
          <w:rFonts w:hint="default" w:ascii="Times New Roman" w:hAnsi="Times New Roman" w:cs="Times New Roman"/>
          <w:lang w:eastAsia="zh-CN"/>
        </w:rPr>
        <w:t>（</w:t>
      </w:r>
      <w:r>
        <w:rPr>
          <w:rFonts w:hint="default" w:ascii="Times New Roman" w:hAnsi="Times New Roman" w:cs="Times New Roman"/>
          <w:szCs w:val="30"/>
          <w:lang w:val="en-US" w:eastAsia="zh-CN"/>
        </w:rPr>
        <w:t>交行湖州分行</w:t>
      </w:r>
      <w:r>
        <w:rPr>
          <w:rFonts w:hint="default" w:ascii="Times New Roman" w:hAnsi="Times New Roman" w:cs="Times New Roman"/>
          <w:lang w:eastAsia="zh-CN"/>
        </w:rPr>
        <w:t>）</w:t>
      </w:r>
      <w:r>
        <w:rPr>
          <w:rFonts w:hint="default" w:ascii="Times New Roman" w:hAnsi="Times New Roman" w:cs="Times New Roman"/>
          <w:lang w:val="en-US" w:eastAsia="zh-CN"/>
        </w:rPr>
        <w:t xml:space="preserve">   </w:t>
      </w:r>
    </w:p>
    <w:bookmarkEnd w:id="49"/>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color w:val="auto"/>
          <w:sz w:val="30"/>
          <w:szCs w:val="30"/>
          <w:lang w:val="en-US" w:eastAsia="zh-CN"/>
        </w:rPr>
      </w:pPr>
      <w:bookmarkStart w:id="65" w:name="_Toc1628"/>
      <w:bookmarkStart w:id="66" w:name="_Toc858"/>
      <w:bookmarkStart w:id="67" w:name="_Toc7634"/>
      <w:bookmarkStart w:id="68" w:name="_Toc6314"/>
      <w:bookmarkStart w:id="69" w:name="_Toc16931"/>
      <w:r>
        <w:rPr>
          <w:rStyle w:val="13"/>
          <w:rFonts w:hint="default" w:ascii="Times New Roman" w:hAnsi="Times New Roman" w:cs="Times New Roman"/>
        </w:rPr>
        <w:t>●</w:t>
      </w:r>
      <w:r>
        <w:rPr>
          <w:rStyle w:val="13"/>
          <w:rFonts w:hint="default" w:ascii="Times New Roman" w:hAnsi="Times New Roman" w:cs="Times New Roman"/>
          <w:lang w:val="en-US" w:eastAsia="zh-CN"/>
        </w:rPr>
        <w:t>安吉农商行</w:t>
      </w:r>
      <w:r>
        <w:rPr>
          <w:rStyle w:val="13"/>
          <w:rFonts w:hint="default" w:ascii="Times New Roman" w:hAnsi="Times New Roman" w:cs="Times New Roman"/>
          <w:lang w:eastAsia="zh-CN"/>
        </w:rPr>
        <w:t>全国首创银行卡积分垃圾分类回收平台</w:t>
      </w:r>
      <w:bookmarkEnd w:id="65"/>
      <w:bookmarkEnd w:id="66"/>
      <w:bookmarkEnd w:id="67"/>
      <w:bookmarkEnd w:id="68"/>
      <w:bookmarkEnd w:id="69"/>
      <w:r>
        <w:rPr>
          <w:rFonts w:hint="eastAsia" w:cs="Times New Roman"/>
          <w:b/>
          <w:bCs/>
          <w:szCs w:val="30"/>
          <w:lang w:val="en-US" w:eastAsia="zh-CN"/>
        </w:rPr>
        <w:t>。</w:t>
      </w:r>
      <w:r>
        <w:rPr>
          <w:rFonts w:hint="eastAsia" w:ascii="仿宋_GB2312" w:hAnsi="仿宋" w:eastAsia="仿宋_GB2312" w:cs="仿宋"/>
          <w:sz w:val="30"/>
          <w:szCs w:val="30"/>
          <w:lang w:eastAsia="zh-CN"/>
        </w:rPr>
        <w:t>近日，</w:t>
      </w:r>
      <w:r>
        <w:rPr>
          <w:rFonts w:hint="eastAsia" w:ascii="仿宋_GB2312" w:hAnsi="仿宋" w:eastAsia="仿宋_GB2312" w:cs="仿宋"/>
          <w:sz w:val="30"/>
          <w:szCs w:val="30"/>
        </w:rPr>
        <w:t>安吉农商行携手浙江灵溪环保科技公司共同创新开发</w:t>
      </w:r>
      <w:r>
        <w:rPr>
          <w:rFonts w:hint="eastAsia" w:ascii="仿宋_GB2312" w:hAnsi="仿宋" w:eastAsia="仿宋_GB2312" w:cs="仿宋"/>
          <w:sz w:val="30"/>
          <w:szCs w:val="30"/>
          <w:lang w:eastAsia="zh-CN"/>
        </w:rPr>
        <w:t>银行卡积分垃圾分类回收平台，已</w:t>
      </w:r>
      <w:r>
        <w:rPr>
          <w:rFonts w:hint="eastAsia" w:ascii="仿宋_GB2312" w:hAnsi="仿宋" w:eastAsia="仿宋_GB2312" w:cs="仿宋"/>
          <w:sz w:val="30"/>
          <w:szCs w:val="30"/>
        </w:rPr>
        <w:t>在报福镇上张村</w:t>
      </w:r>
      <w:r>
        <w:rPr>
          <w:rFonts w:hint="eastAsia" w:ascii="仿宋_GB2312" w:hAnsi="仿宋" w:eastAsia="仿宋_GB2312" w:cs="仿宋"/>
          <w:sz w:val="30"/>
          <w:szCs w:val="30"/>
          <w:lang w:eastAsia="zh-CN"/>
        </w:rPr>
        <w:t>正式试用</w:t>
      </w:r>
      <w:r>
        <w:rPr>
          <w:rFonts w:hint="eastAsia" w:ascii="仿宋_GB2312" w:hAnsi="仿宋" w:eastAsia="仿宋_GB2312" w:cs="仿宋"/>
          <w:sz w:val="30"/>
          <w:szCs w:val="30"/>
        </w:rPr>
        <w:t>。</w:t>
      </w:r>
      <w:r>
        <w:rPr>
          <w:rFonts w:hint="eastAsia" w:ascii="仿宋_GB2312" w:hAnsi="仿宋" w:eastAsia="仿宋_GB2312" w:cs="仿宋"/>
          <w:sz w:val="30"/>
          <w:szCs w:val="30"/>
          <w:lang w:eastAsia="zh-CN"/>
        </w:rPr>
        <w:t>该</w:t>
      </w:r>
      <w:r>
        <w:rPr>
          <w:rFonts w:hint="eastAsia" w:ascii="仿宋_GB2312" w:hAnsi="仿宋" w:eastAsia="仿宋_GB2312" w:cs="仿宋"/>
          <w:sz w:val="30"/>
          <w:szCs w:val="30"/>
        </w:rPr>
        <w:t>平台</w:t>
      </w:r>
      <w:r>
        <w:rPr>
          <w:rFonts w:hint="eastAsia" w:ascii="仿宋_GB2312" w:hAnsi="仿宋" w:eastAsia="仿宋_GB2312" w:cs="仿宋"/>
          <w:sz w:val="30"/>
          <w:szCs w:val="30"/>
          <w:lang w:eastAsia="zh-CN"/>
        </w:rPr>
        <w:t>将</w:t>
      </w:r>
      <w:r>
        <w:rPr>
          <w:rFonts w:hint="eastAsia" w:ascii="仿宋_GB2312" w:hAnsi="仿宋" w:eastAsia="仿宋_GB2312" w:cs="仿宋"/>
          <w:sz w:val="30"/>
          <w:szCs w:val="30"/>
        </w:rPr>
        <w:t>垃圾种类分为</w:t>
      </w:r>
      <w:r>
        <w:rPr>
          <w:rFonts w:hint="eastAsia" w:ascii="仿宋_GB2312" w:hAnsi="仿宋" w:eastAsia="仿宋_GB2312" w:cs="仿宋"/>
          <w:sz w:val="30"/>
          <w:szCs w:val="30"/>
          <w:lang w:eastAsia="zh-CN"/>
        </w:rPr>
        <w:t>玻璃制品、塑料制品、金属制品、书刊废纸、电池电板、有害垃圾、电脑配件、数码产品、其他类别等九类。老百姓在投放垃圾时</w:t>
      </w:r>
      <w:r>
        <w:rPr>
          <w:rFonts w:hint="eastAsia" w:ascii="仿宋_GB2312" w:hAnsi="仿宋" w:eastAsia="仿宋_GB2312" w:cs="仿宋"/>
          <w:sz w:val="30"/>
          <w:szCs w:val="30"/>
        </w:rPr>
        <w:t>在平台上刷</w:t>
      </w:r>
      <w:r>
        <w:rPr>
          <w:rFonts w:hint="eastAsia" w:ascii="仿宋_GB2312" w:hAnsi="仿宋" w:eastAsia="仿宋_GB2312" w:cs="仿宋"/>
          <w:sz w:val="30"/>
          <w:szCs w:val="30"/>
          <w:lang w:eastAsia="zh-CN"/>
        </w:rPr>
        <w:t>银行</w:t>
      </w:r>
      <w:r>
        <w:rPr>
          <w:rFonts w:hint="eastAsia" w:ascii="仿宋_GB2312" w:hAnsi="仿宋" w:eastAsia="仿宋_GB2312" w:cs="仿宋"/>
          <w:sz w:val="30"/>
          <w:szCs w:val="30"/>
        </w:rPr>
        <w:t>卡选择相应类型，平台会给出相应的条形码</w:t>
      </w:r>
      <w:r>
        <w:rPr>
          <w:rFonts w:hint="eastAsia" w:ascii="仿宋_GB2312" w:hAnsi="仿宋" w:eastAsia="仿宋_GB2312" w:cs="仿宋"/>
          <w:sz w:val="30"/>
          <w:szCs w:val="30"/>
          <w:lang w:eastAsia="zh-CN"/>
        </w:rPr>
        <w:t>，</w:t>
      </w:r>
      <w:r>
        <w:rPr>
          <w:rFonts w:hint="eastAsia" w:ascii="仿宋_GB2312" w:hAnsi="仿宋" w:eastAsia="仿宋_GB2312" w:cs="仿宋"/>
          <w:sz w:val="30"/>
          <w:szCs w:val="30"/>
        </w:rPr>
        <w:t>将</w:t>
      </w:r>
      <w:r>
        <w:rPr>
          <w:rFonts w:hint="eastAsia" w:ascii="仿宋_GB2312" w:hAnsi="仿宋" w:eastAsia="仿宋_GB2312" w:cs="仿宋"/>
          <w:sz w:val="30"/>
          <w:szCs w:val="30"/>
          <w:lang w:eastAsia="zh-CN"/>
        </w:rPr>
        <w:t>该</w:t>
      </w:r>
      <w:r>
        <w:rPr>
          <w:rFonts w:hint="eastAsia" w:ascii="仿宋_GB2312" w:hAnsi="仿宋" w:eastAsia="仿宋_GB2312" w:cs="仿宋"/>
          <w:sz w:val="30"/>
          <w:szCs w:val="30"/>
        </w:rPr>
        <w:t>条形码贴在垃圾袋上，投放到对应</w:t>
      </w:r>
      <w:r>
        <w:rPr>
          <w:rFonts w:hint="eastAsia" w:ascii="仿宋_GB2312" w:hAnsi="仿宋" w:eastAsia="仿宋_GB2312" w:cs="仿宋"/>
          <w:sz w:val="30"/>
          <w:szCs w:val="30"/>
          <w:lang w:eastAsia="zh-CN"/>
        </w:rPr>
        <w:t>垃圾</w:t>
      </w:r>
      <w:r>
        <w:rPr>
          <w:rFonts w:hint="eastAsia" w:ascii="仿宋_GB2312" w:hAnsi="仿宋" w:eastAsia="仿宋_GB2312" w:cs="仿宋"/>
          <w:sz w:val="30"/>
          <w:szCs w:val="30"/>
        </w:rPr>
        <w:t>桶内，回收人员扫描条形码后将实际称重的</w:t>
      </w:r>
      <w:r>
        <w:rPr>
          <w:rFonts w:hint="eastAsia" w:ascii="仿宋_GB2312" w:hAnsi="仿宋" w:eastAsia="仿宋_GB2312" w:cs="仿宋"/>
          <w:sz w:val="30"/>
          <w:szCs w:val="30"/>
          <w:lang w:eastAsia="zh-CN"/>
        </w:rPr>
        <w:t>垃圾</w:t>
      </w:r>
      <w:r>
        <w:rPr>
          <w:rFonts w:hint="eastAsia" w:ascii="仿宋_GB2312" w:hAnsi="仿宋" w:eastAsia="仿宋_GB2312" w:cs="仿宋"/>
          <w:sz w:val="30"/>
          <w:szCs w:val="30"/>
        </w:rPr>
        <w:t>对应积分回馈到老百姓的银行卡上</w:t>
      </w:r>
      <w:r>
        <w:rPr>
          <w:rFonts w:hint="eastAsia" w:ascii="仿宋_GB2312" w:hAnsi="仿宋" w:eastAsia="仿宋_GB2312" w:cs="仿宋"/>
          <w:sz w:val="30"/>
          <w:szCs w:val="30"/>
          <w:lang w:eastAsia="zh-CN"/>
        </w:rPr>
        <w:t>，该</w:t>
      </w:r>
      <w:r>
        <w:rPr>
          <w:rFonts w:hint="eastAsia" w:ascii="仿宋_GB2312" w:hAnsi="仿宋" w:eastAsia="仿宋_GB2312" w:cs="仿宋"/>
          <w:sz w:val="30"/>
          <w:szCs w:val="30"/>
        </w:rPr>
        <w:t>积分可直接到农商银行网点进行礼品兑换或在丰收驿站内抵现消费使用。</w:t>
      </w:r>
      <w:r>
        <w:rPr>
          <w:rFonts w:hint="eastAsia" w:ascii="仿宋_GB2312" w:hAnsi="仿宋" w:eastAsia="仿宋_GB2312" w:cs="仿宋"/>
          <w:sz w:val="30"/>
          <w:szCs w:val="30"/>
          <w:lang w:eastAsia="zh-CN"/>
        </w:rPr>
        <w:t>接下来，安吉农商行</w:t>
      </w:r>
      <w:r>
        <w:rPr>
          <w:rFonts w:hint="eastAsia" w:ascii="仿宋_GB2312" w:hAnsi="仿宋" w:eastAsia="仿宋_GB2312" w:cs="仿宋"/>
          <w:sz w:val="30"/>
          <w:szCs w:val="30"/>
        </w:rPr>
        <w:t>还将银行卡垃圾分类积分与个人绿色信用分、个人信贷优惠政策相关联，</w:t>
      </w:r>
      <w:r>
        <w:rPr>
          <w:rFonts w:hint="eastAsia" w:ascii="仿宋_GB2312" w:hAnsi="仿宋" w:eastAsia="仿宋_GB2312" w:cs="仿宋"/>
          <w:sz w:val="30"/>
          <w:szCs w:val="30"/>
          <w:lang w:eastAsia="zh-CN"/>
        </w:rPr>
        <w:t>持续优化应用服务体验，促</w:t>
      </w:r>
      <w:r>
        <w:rPr>
          <w:rFonts w:hint="eastAsia" w:ascii="仿宋_GB2312" w:hAnsi="仿宋" w:eastAsia="仿宋_GB2312" w:cs="仿宋"/>
          <w:sz w:val="30"/>
          <w:szCs w:val="30"/>
        </w:rPr>
        <w:t>使老百姓日常的绿色环保行为在银行业务中得到充分体现。</w:t>
      </w:r>
      <w:r>
        <w:rPr>
          <w:rFonts w:hint="eastAsia" w:cs="Times New Roman"/>
          <w:color w:val="auto"/>
          <w:sz w:val="30"/>
          <w:szCs w:val="30"/>
          <w:lang w:val="en-US" w:eastAsia="zh-CN"/>
        </w:rPr>
        <w:t xml:space="preserve">                             （</w:t>
      </w:r>
      <w:r>
        <w:rPr>
          <w:rFonts w:hint="eastAsia" w:ascii="仿宋_GB2312" w:hAnsi="仿宋" w:eastAsia="仿宋_GB2312" w:cs="仿宋"/>
          <w:sz w:val="30"/>
          <w:szCs w:val="30"/>
        </w:rPr>
        <w:t>安吉农商行</w:t>
      </w:r>
      <w:r>
        <w:rPr>
          <w:rFonts w:hint="eastAsia" w:cs="Times New Roman"/>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right"/>
        <w:textAlignment w:val="auto"/>
        <w:outlineLvl w:val="9"/>
        <w:rPr>
          <w:rFonts w:hint="default" w:ascii="Times New Roman" w:hAnsi="Times New Roman" w:eastAsia="仿宋_GB2312" w:cs="Times New Roman"/>
          <w:color w:val="auto"/>
          <w:sz w:val="30"/>
          <w:szCs w:val="30"/>
          <w:lang w:val="en-US" w:eastAsia="zh-CN"/>
        </w:rPr>
      </w:pPr>
    </w:p>
    <w:bookmarkEnd w:id="50"/>
    <w:bookmarkEnd w:id="51"/>
    <w:bookmarkEnd w:id="52"/>
    <w:bookmarkEnd w:id="53"/>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spacing w:line="520" w:lineRule="exact"/>
        <w:ind w:left="900" w:leftChars="100" w:right="300" w:rightChars="100" w:hanging="600" w:hangingChars="200"/>
        <w:jc w:val="both"/>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68580</wp:posOffset>
                </wp:positionV>
                <wp:extent cx="5734050" cy="0"/>
                <wp:effectExtent l="0" t="0" r="0" b="0"/>
                <wp:wrapNone/>
                <wp:docPr id="1" name="直线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5.4pt;height:0pt;width:451.5pt;z-index:251659264;mso-width-relative:page;mso-height-relative:page;" filled="f" stroked="t" coordsize="21600,21600" o:gfxdata="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Crg01QAAAAkBAAAPAAAAAAAAAAEAIAAAACIAAABkcnMv&#10;ZG93bnJldi54bWxQSwECFAAUAAAACACHTuJA5LKLHc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报：市委办，市人大办，市府办，市政协办，省金融办。</w:t>
      </w:r>
    </w:p>
    <w:p>
      <w:pPr>
        <w:spacing w:line="520" w:lineRule="exact"/>
        <w:ind w:left="860" w:leftChars="100" w:right="300" w:rightChars="100" w:hanging="560" w:hangingChars="200"/>
        <w:jc w:val="both"/>
        <w:rPr>
          <w:rFonts w:hint="default" w:ascii="Times New Roman" w:hAnsi="Times New Roman" w:cs="Times New Roman"/>
          <w:sz w:val="28"/>
          <w:szCs w:val="28"/>
        </w:rPr>
      </w:pPr>
      <w:r>
        <w:rPr>
          <w:rFonts w:hint="default" w:ascii="Times New Roman" w:hAnsi="Times New Roman" w:cs="Times New Roman"/>
          <w:sz w:val="28"/>
          <w:szCs w:val="28"/>
        </w:rPr>
        <w:t>发：办领导，各处室，各县区金融办，各有关金融机构。</w:t>
      </w:r>
    </w:p>
    <w:p>
      <w:pPr>
        <w:keepNext w:val="0"/>
        <w:keepLines w:val="0"/>
        <w:pageBreakBefore w:val="0"/>
        <w:widowControl w:val="0"/>
        <w:kinsoku/>
        <w:wordWrap/>
        <w:overflowPunct/>
        <w:topLinePunct w:val="0"/>
        <w:autoSpaceDE/>
        <w:autoSpaceDN/>
        <w:bidi w:val="0"/>
        <w:adjustRightInd/>
        <w:snapToGrid/>
        <w:spacing w:line="520" w:lineRule="exact"/>
        <w:ind w:right="300" w:rightChars="100" w:firstLine="0" w:firstLineChars="0"/>
        <w:jc w:val="center"/>
        <w:textAlignment w:val="auto"/>
        <w:outlineLvl w:val="9"/>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5734050" cy="0"/>
                <wp:effectExtent l="0" t="0" r="0" b="0"/>
                <wp:wrapNone/>
                <wp:docPr id="2" name="直线 6"/>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25pt;margin-top:5.4pt;height:0pt;width:451.5pt;z-index:251659264;mso-width-relative:page;mso-height-relative:page;" filled="f" stroked="t" coordsize="21600,21600" o:gfxdata="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UNXu1QAAAAkBAAAPAAAAAAAAAAEAIAAAACIAAABkcnMv&#10;ZG93bnJldi54bWxQSwECFAAUAAAACACHTuJA/9kQtM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 xml:space="preserve">湖州市金融工作办公室综合处            </w:t>
      </w:r>
      <w:r>
        <w:rPr>
          <w:rFonts w:hint="default" w:ascii="Times New Roman" w:hAnsi="Times New Roman"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cs="Times New Roman"/>
          <w:szCs w:val="30"/>
        </w:rPr>
        <w:t>201</w:t>
      </w:r>
      <w:r>
        <w:rPr>
          <w:rFonts w:hint="default" w:ascii="Times New Roman" w:hAnsi="Times New Roman" w:cs="Times New Roman"/>
          <w:szCs w:val="30"/>
          <w:lang w:val="en-US" w:eastAsia="zh-CN"/>
        </w:rPr>
        <w:t>8</w:t>
      </w:r>
      <w:r>
        <w:rPr>
          <w:rFonts w:hint="default" w:ascii="Times New Roman" w:hAnsi="Times New Roman" w:cs="Times New Roman"/>
          <w:sz w:val="28"/>
          <w:szCs w:val="28"/>
        </w:rPr>
        <w:t>年</w:t>
      </w:r>
      <w:r>
        <w:rPr>
          <w:rFonts w:hint="eastAsia" w:cs="Times New Roman"/>
          <w:szCs w:val="30"/>
          <w:lang w:val="en-US" w:eastAsia="zh-CN"/>
        </w:rPr>
        <w:t>7</w:t>
      </w:r>
      <w:r>
        <w:rPr>
          <w:rFonts w:hint="default" w:ascii="Times New Roman" w:hAnsi="Times New Roman" w:cs="Times New Roman"/>
          <w:sz w:val="28"/>
          <w:szCs w:val="28"/>
        </w:rPr>
        <w:t>月</w:t>
      </w:r>
      <w:r>
        <w:rPr>
          <w:rFonts w:hint="eastAsia" w:cs="Times New Roman"/>
          <w:szCs w:val="30"/>
          <w:lang w:val="en-US" w:eastAsia="zh-CN"/>
        </w:rPr>
        <w:t>4</w:t>
      </w:r>
      <w:r>
        <w:rPr>
          <w:rFonts w:hint="default" w:ascii="Times New Roman" w:hAnsi="Times New Roman" w:cs="Times New Roman"/>
          <w:sz w:val="28"/>
          <w:szCs w:val="28"/>
        </w:rPr>
        <w:t>日</w:t>
      </w:r>
    </w:p>
    <w:sectPr>
      <w:footerReference r:id="rId3" w:type="default"/>
      <w:pgSz w:w="11906" w:h="16838"/>
      <w:pgMar w:top="1440" w:right="1800" w:bottom="129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p>
    <w:pPr>
      <w:pStyle w:val="4"/>
      <w:jc w:val="right"/>
      <w:rPr>
        <w:rFonts w:hint="default" w:ascii="宋体" w:hAnsi="宋体" w:eastAsia="宋体" w:cs="宋体"/>
        <w:sz w:val="28"/>
        <w:szCs w:val="28"/>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C6A83"/>
    <w:rsid w:val="28E759E2"/>
    <w:rsid w:val="37FC6A83"/>
    <w:rsid w:val="45CB2210"/>
    <w:rsid w:val="45FC5DBB"/>
    <w:rsid w:val="4ADA5324"/>
    <w:rsid w:val="53F557CF"/>
    <w:rsid w:val="5CA43BDD"/>
    <w:rsid w:val="609A63DE"/>
    <w:rsid w:val="6212594B"/>
    <w:rsid w:val="66E61870"/>
    <w:rsid w:val="6D535020"/>
    <w:rsid w:val="6EB710AD"/>
    <w:rsid w:val="7401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00" w:firstLineChars="20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4"/>
    <w:qFormat/>
    <w:uiPriority w:val="0"/>
    <w:pPr>
      <w:widowControl/>
      <w:spacing w:before="100" w:beforeAutospacing="1" w:after="100" w:afterAutospacing="1" w:line="240" w:lineRule="auto"/>
      <w:ind w:firstLine="0" w:firstLineChars="0"/>
      <w:jc w:val="left"/>
      <w:outlineLvl w:val="0"/>
    </w:pPr>
    <w:rPr>
      <w:rFonts w:ascii="宋体" w:hAnsi="宋体" w:eastAsia="方正小标宋简体" w:cs="宋体"/>
      <w:bCs/>
      <w:kern w:val="36"/>
      <w:sz w:val="32"/>
      <w:szCs w:val="48"/>
    </w:rPr>
  </w:style>
  <w:style w:type="paragraph" w:styleId="3">
    <w:name w:val="heading 2"/>
    <w:basedOn w:val="1"/>
    <w:next w:val="1"/>
    <w:link w:val="13"/>
    <w:unhideWhenUsed/>
    <w:qFormat/>
    <w:uiPriority w:val="0"/>
    <w:pPr>
      <w:keepNext/>
      <w:keepLines/>
      <w:spacing w:before="260" w:after="260" w:line="416" w:lineRule="atLeast"/>
      <w:outlineLvl w:val="1"/>
    </w:pPr>
    <w:rPr>
      <w:rFonts w:eastAsia="方正小标宋简体" w:asciiTheme="majorHAnsi" w:hAnsiTheme="majorHAnsi" w:cstheme="majorBidi"/>
      <w:bCs/>
      <w:szCs w:val="32"/>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5">
    <w:name w:val="toc 1"/>
    <w:basedOn w:val="1"/>
    <w:next w:val="1"/>
    <w:qFormat/>
    <w:uiPriority w:val="0"/>
    <w:pPr>
      <w:tabs>
        <w:tab w:val="right" w:leader="dot" w:pos="8296"/>
      </w:tabs>
      <w:ind w:firstLine="0" w:firstLineChars="0"/>
    </w:pPr>
    <w:rPr>
      <w:b/>
    </w:rPr>
  </w:style>
  <w:style w:type="paragraph" w:styleId="6">
    <w:name w:val="toc 2"/>
    <w:basedOn w:val="1"/>
    <w:next w:val="1"/>
    <w:qFormat/>
    <w:uiPriority w:val="0"/>
    <w:pPr>
      <w:tabs>
        <w:tab w:val="right" w:leader="dot" w:pos="8296"/>
      </w:tabs>
      <w:spacing w:line="500" w:lineRule="exact"/>
      <w:ind w:left="600" w:leftChars="200"/>
    </w:p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customStyle="1" w:styleId="13">
    <w:name w:val="标题 2 Char"/>
    <w:basedOn w:val="8"/>
    <w:link w:val="3"/>
    <w:semiHidden/>
    <w:qFormat/>
    <w:uiPriority w:val="9"/>
    <w:rPr>
      <w:rFonts w:eastAsia="方正小标宋简体" w:asciiTheme="majorHAnsi" w:hAnsiTheme="majorHAnsi" w:cstheme="majorBidi"/>
      <w:bCs/>
      <w:szCs w:val="32"/>
    </w:rPr>
  </w:style>
  <w:style w:type="character" w:customStyle="1" w:styleId="14">
    <w:name w:val="标题 1 Char"/>
    <w:link w:val="2"/>
    <w:qFormat/>
    <w:uiPriority w:val="0"/>
    <w:rPr>
      <w:rFonts w:ascii="宋体" w:hAnsi="宋体" w:eastAsia="方正小标宋简体" w:cs="宋体"/>
      <w:bCs/>
      <w:kern w:val="36"/>
      <w:sz w:val="32"/>
      <w:szCs w:val="48"/>
    </w:rPr>
  </w:style>
  <w:style w:type="paragraph" w:customStyle="1" w:styleId="15">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6" w:themeColor="accent1" w:themeShade="BF"/>
      <w:kern w:val="0"/>
      <w:sz w:val="28"/>
      <w:szCs w:val="28"/>
    </w:rPr>
  </w:style>
  <w:style w:type="paragraph" w:customStyle="1" w:styleId="16">
    <w:name w:val="p0"/>
    <w:basedOn w:val="1"/>
    <w:qFormat/>
    <w:uiPriority w:val="0"/>
    <w:pPr>
      <w:widowControl/>
    </w:pPr>
    <w:rPr>
      <w:rFonts w:ascii="Times New Roman" w:hAnsi="Times New Roman"/>
      <w:kern w:val="0"/>
      <w:szCs w:val="21"/>
    </w:rPr>
  </w:style>
  <w:style w:type="character" w:customStyle="1" w:styleId="17">
    <w:name w:val="on"/>
    <w:basedOn w:val="8"/>
    <w:qFormat/>
    <w:uiPriority w:val="0"/>
    <w:rPr>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2018-06-25T00:37:00Z</dcterms:created>
  <dc:creator>Xiaoya</dc:creator>
  <cp:lastModifiedBy>Xiaoya</cp:lastModifiedBy>
  <cp:lastPrinted>2018-07-04T06:28:13Z</cp:lastPrinted>
  <dcterms:modified xsi:type="dcterms:W3CDTF">2018-07-04T07:26:35Z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