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default" w:ascii="Times New Roman" w:hAnsi="Times New Roman"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default" w:ascii="Times New Roman" w:hAnsi="Times New Roman"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default" w:ascii="Times New Roman" w:hAnsi="Times New Roman"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default" w:ascii="Times New Roman" w:hAnsi="Times New Roman" w:cs="Times New Roman"/>
          <w:bCs/>
          <w:sz w:val="32"/>
          <w:szCs w:val="32"/>
        </w:rPr>
      </w:pPr>
    </w:p>
    <w:p>
      <w:pPr>
        <w:spacing w:line="520" w:lineRule="exact"/>
        <w:jc w:val="both"/>
        <w:rPr>
          <w:rFonts w:hint="default" w:ascii="Times New Roman" w:hAnsi="Times New Roman" w:cs="Times New Roman"/>
          <w:bCs/>
          <w:sz w:val="32"/>
          <w:szCs w:val="32"/>
        </w:rPr>
      </w:pPr>
      <w:r>
        <w:rPr>
          <w:rFonts w:hint="default" w:ascii="Times New Roman" w:hAnsi="Times New Roman" w:cs="Times New Roman"/>
        </w:rPr>
        <w:pict>
          <v:shape id="AutoShape 2" o:spid="_x0000_s1026" o:spt="136" type="#_x0000_t136" style="position:absolute;left:0pt;margin-top:5pt;height:48pt;width:320.25pt;mso-position-horizontal:center;z-index:251658240;mso-width-relative:page;mso-height-relative:page;" fillcolor="#FF0000" filled="t" stroked="t" coordsize="21600,21600">
            <v:path/>
            <v:fill on="t" focussize="0,0"/>
            <v:stroke color="#FF0000"/>
            <v:imagedata o:title=""/>
            <o:lock v:ext="edit"/>
            <v:textpath on="t" fitshape="t" fitpath="t" trim="t" xscale="f" string="金融工作简报" style="font-family:方正小标宋简体;font-size:48pt;v-text-align:center;v-text-spacing:78650f;"/>
          </v:shape>
        </w:pict>
      </w:r>
    </w:p>
    <w:p>
      <w:pPr>
        <w:spacing w:line="520" w:lineRule="exact"/>
        <w:ind w:firstLine="0" w:firstLineChars="0"/>
        <w:jc w:val="both"/>
        <w:rPr>
          <w:rFonts w:hint="default" w:ascii="Times New Roman" w:hAnsi="Times New Roman" w:cs="Times New Roman"/>
          <w:bCs/>
          <w:sz w:val="32"/>
          <w:szCs w:val="32"/>
        </w:rPr>
      </w:pPr>
    </w:p>
    <w:p>
      <w:pPr>
        <w:spacing w:line="520" w:lineRule="exact"/>
        <w:ind w:firstLine="640"/>
        <w:jc w:val="both"/>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default" w:ascii="Times New Roman" w:hAnsi="Times New Roman" w:cs="Times New Roman"/>
          <w:sz w:val="32"/>
          <w:szCs w:val="32"/>
        </w:rPr>
      </w:pPr>
      <w:r>
        <w:rPr>
          <w:rFonts w:hint="default" w:ascii="Times New Roman" w:hAnsi="Times New Roman" w:cs="Times New Roman"/>
          <w:sz w:val="32"/>
          <w:szCs w:val="32"/>
        </w:rPr>
        <w:t>201</w:t>
      </w:r>
      <w:r>
        <w:rPr>
          <w:rFonts w:hint="default" w:ascii="Times New Roman" w:hAnsi="Times New Roman" w:cs="Times New Roman"/>
          <w:sz w:val="32"/>
          <w:szCs w:val="32"/>
          <w:lang w:val="en-US" w:eastAsia="zh-CN"/>
        </w:rPr>
        <w:t>8</w:t>
      </w:r>
      <w:r>
        <w:rPr>
          <w:rFonts w:hint="default" w:ascii="Times New Roman" w:hAnsi="Times New Roman" w:cs="Times New Roman"/>
          <w:sz w:val="32"/>
          <w:szCs w:val="32"/>
        </w:rPr>
        <w:t>年第</w:t>
      </w:r>
      <w:r>
        <w:rPr>
          <w:rFonts w:hint="eastAsia" w:cs="Times New Roman"/>
          <w:sz w:val="32"/>
          <w:szCs w:val="32"/>
          <w:lang w:val="en-US" w:eastAsia="zh-CN"/>
        </w:rPr>
        <w:t>12</w:t>
      </w:r>
      <w:r>
        <w:rPr>
          <w:rFonts w:hint="default" w:ascii="Times New Roman" w:hAnsi="Times New Roman" w:cs="Times New Roman"/>
          <w:sz w:val="32"/>
          <w:szCs w:val="32"/>
        </w:rPr>
        <w:t>期</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default" w:ascii="Times New Roman" w:hAnsi="Times New Roman" w:cs="Times New Roman"/>
          <w:sz w:val="32"/>
          <w:szCs w:val="32"/>
        </w:rPr>
      </w:pPr>
      <w:r>
        <w:rPr>
          <w:rFonts w:hint="default" w:ascii="Times New Roman" w:hAnsi="Times New Roman" w:cs="Times New Roman"/>
          <w:sz w:val="32"/>
          <w:szCs w:val="32"/>
          <w:lang w:eastAsia="zh-CN"/>
        </w:rPr>
        <w:t>（</w:t>
      </w:r>
      <w:r>
        <w:rPr>
          <w:rFonts w:hint="default" w:ascii="Times New Roman" w:hAnsi="Times New Roman" w:cs="Times New Roman"/>
          <w:sz w:val="32"/>
          <w:szCs w:val="32"/>
        </w:rPr>
        <w:t>总第</w:t>
      </w:r>
      <w:r>
        <w:rPr>
          <w:rFonts w:hint="eastAsia" w:cs="Times New Roman"/>
          <w:sz w:val="32"/>
          <w:szCs w:val="32"/>
          <w:lang w:val="en-US" w:eastAsia="zh-CN"/>
        </w:rPr>
        <w:t>61</w:t>
      </w:r>
      <w:r>
        <w:rPr>
          <w:rFonts w:hint="default" w:ascii="Times New Roman" w:hAnsi="Times New Roman" w:cs="Times New Roman"/>
          <w:sz w:val="32"/>
          <w:szCs w:val="32"/>
        </w:rPr>
        <w:t>期</w:t>
      </w:r>
      <w:r>
        <w:rPr>
          <w:rFonts w:hint="default" w:ascii="Times New Roman" w:hAnsi="Times New Roman" w:cs="Times New Roman"/>
          <w:sz w:val="32"/>
          <w:szCs w:val="32"/>
          <w:lang w:eastAsia="zh-CN"/>
        </w:rPr>
        <w:t>）</w:t>
      </w:r>
    </w:p>
    <w:p>
      <w:pPr>
        <w:spacing w:line="520" w:lineRule="exact"/>
        <w:ind w:firstLine="640"/>
        <w:jc w:val="both"/>
        <w:rPr>
          <w:rFonts w:hint="default" w:ascii="Times New Roman" w:hAnsi="Times New Roman" w:cs="Times New Roman"/>
          <w:sz w:val="32"/>
          <w:szCs w:val="32"/>
        </w:rPr>
      </w:pPr>
    </w:p>
    <w:p>
      <w:pPr>
        <w:spacing w:line="520" w:lineRule="exact"/>
        <w:ind w:right="300" w:rightChars="100" w:firstLine="160" w:firstLineChars="50"/>
        <w:jc w:val="both"/>
        <w:rPr>
          <w:rFonts w:hint="default" w:ascii="Times New Roman" w:hAnsi="Times New Roman" w:cs="Times New Roman"/>
          <w:sz w:val="32"/>
          <w:szCs w:val="32"/>
        </w:rPr>
      </w:pPr>
      <w:r>
        <w:rPr>
          <w:rFonts w:hint="default" w:ascii="Times New Roman" w:hAnsi="Times New Roman" w:cs="Times New Roman"/>
          <w:sz w:val="32"/>
          <w:szCs w:val="32"/>
        </w:rPr>
        <w:t xml:space="preserve">湖州市金融工作办公室           </w:t>
      </w:r>
      <w:r>
        <w:rPr>
          <w:rFonts w:hint="eastAsia" w:cs="Times New Roman"/>
          <w:sz w:val="32"/>
          <w:szCs w:val="32"/>
          <w:lang w:val="en-US" w:eastAsia="zh-CN"/>
        </w:rPr>
        <w:t xml:space="preserve">  </w:t>
      </w:r>
      <w:r>
        <w:rPr>
          <w:rFonts w:hint="default" w:ascii="Times New Roman" w:hAnsi="Times New Roman" w:cs="Times New Roman"/>
          <w:sz w:val="32"/>
          <w:szCs w:val="32"/>
        </w:rPr>
        <w:t xml:space="preserve"> 201</w:t>
      </w:r>
      <w:r>
        <w:rPr>
          <w:rFonts w:hint="default" w:ascii="Times New Roman" w:hAnsi="Times New Roman" w:cs="Times New Roman"/>
          <w:sz w:val="32"/>
          <w:szCs w:val="32"/>
          <w:lang w:val="en-US" w:eastAsia="zh-CN"/>
        </w:rPr>
        <w:t>8</w:t>
      </w:r>
      <w:r>
        <w:rPr>
          <w:rFonts w:hint="default" w:ascii="Times New Roman" w:hAnsi="Times New Roman" w:cs="Times New Roman"/>
          <w:sz w:val="32"/>
          <w:szCs w:val="32"/>
        </w:rPr>
        <w:t>年</w:t>
      </w:r>
      <w:r>
        <w:rPr>
          <w:rFonts w:hint="eastAsia" w:cs="Times New Roman"/>
          <w:sz w:val="32"/>
          <w:szCs w:val="32"/>
          <w:lang w:val="en-US" w:eastAsia="zh-CN"/>
        </w:rPr>
        <w:t>10</w:t>
      </w:r>
      <w:r>
        <w:rPr>
          <w:rFonts w:hint="default" w:ascii="Times New Roman" w:hAnsi="Times New Roman" w:cs="Times New Roman"/>
          <w:sz w:val="32"/>
          <w:szCs w:val="32"/>
        </w:rPr>
        <w:t>月</w:t>
      </w:r>
      <w:r>
        <w:rPr>
          <w:rFonts w:hint="eastAsia" w:cs="Times New Roman"/>
          <w:sz w:val="32"/>
          <w:szCs w:val="32"/>
          <w:lang w:val="en-US" w:eastAsia="zh-CN"/>
        </w:rPr>
        <w:t>8</w:t>
      </w:r>
      <w:r>
        <w:rPr>
          <w:rFonts w:hint="default" w:ascii="Times New Roman" w:hAnsi="Times New Roman" w:cs="Times New Roman"/>
          <w:sz w:val="32"/>
          <w:szCs w:val="32"/>
        </w:rPr>
        <w:t>日</w:t>
      </w:r>
    </w:p>
    <w:p>
      <w:pPr>
        <w:pStyle w:val="18"/>
        <w:keepNext/>
        <w:keepLines/>
        <w:pageBreakBefore w:val="0"/>
        <w:widowControl/>
        <w:kinsoku/>
        <w:wordWrap/>
        <w:overflowPunct/>
        <w:topLinePunct w:val="0"/>
        <w:autoSpaceDE/>
        <w:autoSpaceDN/>
        <w:bidi w:val="0"/>
        <w:adjustRightInd/>
        <w:snapToGrid/>
        <w:spacing w:before="313" w:beforeLines="100" w:after="0" w:line="600" w:lineRule="exact"/>
        <w:ind w:left="0" w:leftChars="0" w:right="0" w:rightChars="0" w:firstLine="0" w:firstLineChars="0"/>
        <w:jc w:val="center"/>
        <w:textAlignment w:val="auto"/>
        <w:outlineLvl w:val="9"/>
        <w:rPr>
          <w:rFonts w:hint="default" w:ascii="Times New Roman" w:hAnsi="Times New Roman" w:eastAsia="方正小标宋简体" w:cs="Times New Roman"/>
          <w:b w:val="0"/>
          <w:color w:val="auto"/>
          <w:sz w:val="44"/>
          <w:szCs w:val="44"/>
          <w:lang w:val="zh-CN"/>
        </w:rPr>
      </w:pPr>
      <w:r>
        <w:rPr>
          <w:rFonts w:hint="default" w:ascii="Times New Roman" w:hAnsi="Times New Roman" w:cs="Times New Roman"/>
        </w:rPr>
        <mc:AlternateContent>
          <mc:Choice Requires="wps">
            <w:drawing>
              <wp:anchor distT="0" distB="0" distL="114300" distR="114300" simplePos="0" relativeHeight="251658240" behindDoc="0" locked="0" layoutInCell="1" allowOverlap="1">
                <wp:simplePos x="0" y="0"/>
                <wp:positionH relativeFrom="column">
                  <wp:posOffset>-20320</wp:posOffset>
                </wp:positionH>
                <wp:positionV relativeFrom="paragraph">
                  <wp:posOffset>16510</wp:posOffset>
                </wp:positionV>
                <wp:extent cx="5221605" cy="8890"/>
                <wp:effectExtent l="0" t="0" r="0" b="0"/>
                <wp:wrapNone/>
                <wp:docPr id="3" name="Line 3"/>
                <wp:cNvGraphicFramePr/>
                <a:graphic xmlns:a="http://schemas.openxmlformats.org/drawingml/2006/main">
                  <a:graphicData uri="http://schemas.microsoft.com/office/word/2010/wordprocessingShape">
                    <wps:wsp>
                      <wps:cNvCnPr/>
                      <wps:spPr>
                        <a:xfrm flipV="1">
                          <a:off x="0" y="0"/>
                          <a:ext cx="5221605" cy="889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Line 3" o:spid="_x0000_s1026" o:spt="20" style="position:absolute;left:0pt;flip:y;margin-left:-1.6pt;margin-top:1.3pt;height:0.7pt;width:411.15pt;z-index:251658240;mso-width-relative:page;mso-height-relative:page;" filled="f" stroked="t" coordsize="21600,21600" o:gfxdata="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&#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TptqHWAAAABgEAAA8AAAAAAAAAAQAgAAAAIgAAAGRy&#10;cy9kb3ducmV2LnhtbFBLAQIUABQAAAAIAIdO4kDxdLpCzgEAAJkDAAAOAAAAAAAAAAEAIAAAACUB&#10;AABkcnMvZTJvRG9jLnhtbFBLBQYAAAAABgAGAFkBAABlBQAAAAA=&#10;">
                <v:fill on="f" focussize="0,0"/>
                <v:stroke weight="3pt" color="#FF0000" joinstyle="round"/>
                <v:imagedata o:title=""/>
                <o:lock v:ext="edit" aspectratio="f"/>
              </v:line>
            </w:pict>
          </mc:Fallback>
        </mc:AlternateContent>
      </w:r>
      <w:r>
        <w:rPr>
          <w:rFonts w:hint="default" w:ascii="Times New Roman" w:hAnsi="Times New Roman" w:eastAsia="方正小标宋简体" w:cs="Times New Roman"/>
          <w:b w:val="0"/>
          <w:color w:val="auto"/>
          <w:sz w:val="44"/>
          <w:szCs w:val="44"/>
          <w:lang w:val="zh-CN"/>
        </w:rPr>
        <w:t>目</w:t>
      </w:r>
      <w:r>
        <w:rPr>
          <w:rFonts w:hint="default" w:ascii="Times New Roman" w:hAnsi="Times New Roman" w:eastAsia="方正小标宋简体" w:cs="Times New Roman"/>
          <w:b w:val="0"/>
          <w:color w:val="auto"/>
          <w:sz w:val="44"/>
          <w:szCs w:val="44"/>
          <w:lang w:val="en-US" w:eastAsia="zh-CN"/>
        </w:rPr>
        <w:t xml:space="preserve"> </w:t>
      </w:r>
      <w:r>
        <w:rPr>
          <w:rFonts w:hint="default" w:ascii="Times New Roman" w:hAnsi="Times New Roman" w:eastAsia="方正小标宋简体" w:cs="Times New Roman"/>
          <w:b w:val="0"/>
          <w:color w:val="auto"/>
          <w:sz w:val="44"/>
          <w:szCs w:val="44"/>
          <w:lang w:val="zh-CN"/>
        </w:rPr>
        <w:t>录</w:t>
      </w:r>
    </w:p>
    <w:p>
      <w:pPr>
        <w:pStyle w:val="9"/>
        <w:pageBreakBefore w:val="0"/>
        <w:tabs>
          <w:tab w:val="right" w:leader="dot" w:pos="8306"/>
          <w:tab w:val="clear" w:pos="8296"/>
        </w:tabs>
        <w:kinsoku/>
        <w:wordWrap/>
        <w:overflowPunct/>
        <w:topLinePunct w:val="0"/>
        <w:autoSpaceDE/>
        <w:autoSpaceDN/>
        <w:bidi w:val="0"/>
        <w:adjustRightInd/>
        <w:snapToGrid/>
        <w:spacing w:line="440" w:lineRule="exact"/>
        <w:textAlignment w:val="auto"/>
      </w:pPr>
      <w:r>
        <w:rPr>
          <w:rFonts w:hint="default" w:ascii="Times New Roman" w:hAnsi="Times New Roman" w:eastAsia="仿宋_GB2312" w:cs="Times New Roman"/>
          <w:b w:val="0"/>
          <w:color w:val="auto"/>
          <w:sz w:val="44"/>
          <w:szCs w:val="44"/>
          <w:lang w:val="zh-CN"/>
        </w:rPr>
        <w:fldChar w:fldCharType="begin"/>
      </w:r>
      <w:r>
        <w:rPr>
          <w:rFonts w:hint="default" w:ascii="Times New Roman" w:hAnsi="Times New Roman" w:eastAsia="仿宋_GB2312" w:cs="Times New Roman"/>
          <w:b w:val="0"/>
          <w:color w:val="auto"/>
          <w:sz w:val="44"/>
          <w:szCs w:val="44"/>
          <w:lang w:val="zh-CN"/>
        </w:rPr>
        <w:instrText xml:space="preserve">TOC \o "1-3" \h \u </w:instrText>
      </w:r>
      <w:r>
        <w:rPr>
          <w:rFonts w:hint="default" w:ascii="Times New Roman" w:hAnsi="Times New Roman" w:eastAsia="仿宋_GB2312" w:cs="Times New Roman"/>
          <w:b w:val="0"/>
          <w:color w:val="auto"/>
          <w:sz w:val="44"/>
          <w:szCs w:val="44"/>
          <w:lang w:val="zh-CN"/>
        </w:rPr>
        <w:fldChar w:fldCharType="separate"/>
      </w:r>
      <w:r>
        <w:rPr>
          <w:rFonts w:hint="default" w:ascii="Times New Roman" w:hAnsi="Times New Roman" w:eastAsia="仿宋_GB2312" w:cs="Times New Roman"/>
          <w:color w:val="auto"/>
          <w:szCs w:val="44"/>
          <w:lang w:val="zh-CN"/>
        </w:rPr>
        <w:fldChar w:fldCharType="begin"/>
      </w:r>
      <w:r>
        <w:rPr>
          <w:rFonts w:hint="default" w:ascii="Times New Roman" w:hAnsi="Times New Roman" w:eastAsia="仿宋_GB2312" w:cs="Times New Roman"/>
          <w:szCs w:val="44"/>
          <w:lang w:val="zh-CN"/>
        </w:rPr>
        <w:instrText xml:space="preserve"> HYPERLINK \l _Toc18040 </w:instrText>
      </w:r>
      <w:r>
        <w:rPr>
          <w:rFonts w:hint="default" w:ascii="Times New Roman" w:hAnsi="Times New Roman" w:eastAsia="仿宋_GB2312" w:cs="Times New Roman"/>
          <w:szCs w:val="44"/>
          <w:lang w:val="zh-CN"/>
        </w:rPr>
        <w:fldChar w:fldCharType="separate"/>
      </w:r>
      <w:r>
        <w:rPr>
          <w:rFonts w:hint="default" w:ascii="Times New Roman" w:hAnsi="Times New Roman" w:cs="Times New Roman"/>
          <w:lang w:val="en-US" w:eastAsia="zh-CN"/>
        </w:rPr>
        <w:t>【金融动态】</w:t>
      </w:r>
      <w:r>
        <w:tab/>
      </w:r>
      <w:r>
        <w:fldChar w:fldCharType="begin"/>
      </w:r>
      <w:r>
        <w:instrText xml:space="preserve"> PAGEREF _Toc18040 </w:instrText>
      </w:r>
      <w:r>
        <w:fldChar w:fldCharType="separate"/>
      </w:r>
      <w:r>
        <w:t>2</w:t>
      </w:r>
      <w:r>
        <w:fldChar w:fldCharType="end"/>
      </w:r>
      <w:r>
        <w:rPr>
          <w:rFonts w:hint="default" w:ascii="Times New Roman" w:hAnsi="Times New Roman" w:eastAsia="仿宋_GB2312" w:cs="Times New Roman"/>
          <w:color w:val="auto"/>
          <w:szCs w:val="44"/>
          <w:lang w:val="zh-CN"/>
        </w:rPr>
        <w:fldChar w:fldCharType="end"/>
      </w:r>
    </w:p>
    <w:p>
      <w:pPr>
        <w:pStyle w:val="10"/>
        <w:pageBreakBefore w:val="0"/>
        <w:tabs>
          <w:tab w:val="right" w:leader="dot" w:pos="8306"/>
          <w:tab w:val="clear" w:pos="8296"/>
        </w:tabs>
        <w:kinsoku/>
        <w:wordWrap/>
        <w:overflowPunct/>
        <w:topLinePunct w:val="0"/>
        <w:autoSpaceDE/>
        <w:autoSpaceDN/>
        <w:bidi w:val="0"/>
        <w:adjustRightInd/>
        <w:snapToGrid/>
        <w:spacing w:line="440" w:lineRule="exact"/>
        <w:ind w:left="0" w:leftChars="0" w:firstLine="0" w:firstLineChars="0"/>
        <w:textAlignment w:val="auto"/>
      </w:pPr>
      <w:r>
        <w:rPr>
          <w:rFonts w:hint="default" w:ascii="Times New Roman" w:hAnsi="Times New Roman" w:eastAsia="仿宋_GB2312" w:cs="Times New Roman"/>
          <w:color w:val="auto"/>
          <w:szCs w:val="44"/>
          <w:lang w:val="zh-CN"/>
        </w:rPr>
        <w:fldChar w:fldCharType="begin"/>
      </w:r>
      <w:r>
        <w:rPr>
          <w:rFonts w:hint="default" w:ascii="Times New Roman" w:hAnsi="Times New Roman" w:eastAsia="仿宋_GB2312" w:cs="Times New Roman"/>
          <w:szCs w:val="44"/>
          <w:lang w:val="zh-CN"/>
        </w:rPr>
        <w:instrText xml:space="preserve"> HYPERLINK \l _Toc11348 </w:instrText>
      </w:r>
      <w:r>
        <w:rPr>
          <w:rFonts w:hint="default" w:ascii="Times New Roman" w:hAnsi="Times New Roman" w:eastAsia="仿宋_GB2312" w:cs="Times New Roman"/>
          <w:szCs w:val="44"/>
          <w:lang w:val="zh-CN"/>
        </w:rPr>
        <w:fldChar w:fldCharType="separate"/>
      </w:r>
      <w:r>
        <w:rPr>
          <w:rFonts w:hint="default" w:ascii="Times New Roman" w:hAnsi="Times New Roman" w:cs="Times New Roman"/>
        </w:rPr>
        <w:t>●中国人民银行研究局来湖调研绿色金融工作</w:t>
      </w:r>
      <w:r>
        <w:tab/>
      </w:r>
      <w:r>
        <w:fldChar w:fldCharType="begin"/>
      </w:r>
      <w:r>
        <w:instrText xml:space="preserve"> PAGEREF _Toc11348 </w:instrText>
      </w:r>
      <w:r>
        <w:fldChar w:fldCharType="separate"/>
      </w:r>
      <w:r>
        <w:t>2</w:t>
      </w:r>
      <w:r>
        <w:fldChar w:fldCharType="end"/>
      </w:r>
      <w:r>
        <w:rPr>
          <w:rFonts w:hint="default" w:ascii="Times New Roman" w:hAnsi="Times New Roman" w:eastAsia="仿宋_GB2312" w:cs="Times New Roman"/>
          <w:color w:val="auto"/>
          <w:szCs w:val="44"/>
          <w:lang w:val="zh-CN"/>
        </w:rPr>
        <w:fldChar w:fldCharType="end"/>
      </w:r>
    </w:p>
    <w:p>
      <w:pPr>
        <w:pStyle w:val="10"/>
        <w:pageBreakBefore w:val="0"/>
        <w:tabs>
          <w:tab w:val="right" w:leader="dot" w:pos="8306"/>
          <w:tab w:val="clear" w:pos="8296"/>
        </w:tabs>
        <w:kinsoku/>
        <w:wordWrap/>
        <w:overflowPunct/>
        <w:topLinePunct w:val="0"/>
        <w:autoSpaceDE/>
        <w:autoSpaceDN/>
        <w:bidi w:val="0"/>
        <w:adjustRightInd/>
        <w:snapToGrid/>
        <w:spacing w:line="440" w:lineRule="exact"/>
        <w:ind w:left="0" w:leftChars="0" w:firstLine="0" w:firstLineChars="0"/>
        <w:textAlignment w:val="auto"/>
      </w:pPr>
      <w:r>
        <w:rPr>
          <w:rFonts w:hint="default" w:ascii="Times New Roman" w:hAnsi="Times New Roman" w:eastAsia="仿宋_GB2312" w:cs="Times New Roman"/>
          <w:color w:val="auto"/>
          <w:szCs w:val="44"/>
          <w:lang w:val="zh-CN"/>
        </w:rPr>
        <w:fldChar w:fldCharType="begin"/>
      </w:r>
      <w:r>
        <w:rPr>
          <w:rFonts w:hint="default" w:ascii="Times New Roman" w:hAnsi="Times New Roman" w:eastAsia="仿宋_GB2312" w:cs="Times New Roman"/>
          <w:szCs w:val="44"/>
          <w:lang w:val="zh-CN"/>
        </w:rPr>
        <w:instrText xml:space="preserve"> HYPERLINK \l _Toc28061 </w:instrText>
      </w:r>
      <w:r>
        <w:rPr>
          <w:rFonts w:hint="default" w:ascii="Times New Roman" w:hAnsi="Times New Roman" w:eastAsia="仿宋_GB2312" w:cs="Times New Roman"/>
          <w:szCs w:val="44"/>
          <w:lang w:val="zh-CN"/>
        </w:rPr>
        <w:fldChar w:fldCharType="separate"/>
      </w:r>
      <w:r>
        <w:rPr>
          <w:rFonts w:hint="default" w:ascii="Times New Roman" w:hAnsi="Times New Roman" w:cs="Times New Roman"/>
        </w:rPr>
        <w:t>●项乐民副市长赴人保财险湖州市分公司调研绿色保险工作</w:t>
      </w:r>
      <w:r>
        <w:tab/>
      </w:r>
      <w:r>
        <w:fldChar w:fldCharType="begin"/>
      </w:r>
      <w:r>
        <w:instrText xml:space="preserve"> PAGEREF _Toc28061 </w:instrText>
      </w:r>
      <w:r>
        <w:fldChar w:fldCharType="separate"/>
      </w:r>
      <w:r>
        <w:t>3</w:t>
      </w:r>
      <w:r>
        <w:fldChar w:fldCharType="end"/>
      </w:r>
      <w:r>
        <w:rPr>
          <w:rFonts w:hint="default" w:ascii="Times New Roman" w:hAnsi="Times New Roman" w:eastAsia="仿宋_GB2312" w:cs="Times New Roman"/>
          <w:color w:val="auto"/>
          <w:szCs w:val="44"/>
          <w:lang w:val="zh-CN"/>
        </w:rPr>
        <w:fldChar w:fldCharType="end"/>
      </w:r>
    </w:p>
    <w:p>
      <w:pPr>
        <w:pStyle w:val="10"/>
        <w:pageBreakBefore w:val="0"/>
        <w:tabs>
          <w:tab w:val="right" w:leader="dot" w:pos="8306"/>
          <w:tab w:val="clear" w:pos="8296"/>
        </w:tabs>
        <w:kinsoku/>
        <w:wordWrap/>
        <w:overflowPunct/>
        <w:topLinePunct w:val="0"/>
        <w:autoSpaceDE/>
        <w:autoSpaceDN/>
        <w:bidi w:val="0"/>
        <w:adjustRightInd/>
        <w:snapToGrid/>
        <w:spacing w:line="440" w:lineRule="exact"/>
        <w:ind w:left="0" w:leftChars="0" w:firstLine="0" w:firstLineChars="0"/>
        <w:textAlignment w:val="auto"/>
      </w:pPr>
      <w:r>
        <w:rPr>
          <w:rFonts w:hint="default" w:ascii="Times New Roman" w:hAnsi="Times New Roman" w:eastAsia="仿宋_GB2312" w:cs="Times New Roman"/>
          <w:color w:val="auto"/>
          <w:szCs w:val="44"/>
          <w:lang w:val="zh-CN"/>
        </w:rPr>
        <w:fldChar w:fldCharType="begin"/>
      </w:r>
      <w:r>
        <w:rPr>
          <w:rFonts w:hint="default" w:ascii="Times New Roman" w:hAnsi="Times New Roman" w:eastAsia="仿宋_GB2312" w:cs="Times New Roman"/>
          <w:szCs w:val="44"/>
          <w:lang w:val="zh-CN"/>
        </w:rPr>
        <w:instrText xml:space="preserve"> HYPERLINK \l _Toc28758 </w:instrText>
      </w:r>
      <w:r>
        <w:rPr>
          <w:rFonts w:hint="default" w:ascii="Times New Roman" w:hAnsi="Times New Roman" w:eastAsia="仿宋_GB2312" w:cs="Times New Roman"/>
          <w:szCs w:val="44"/>
          <w:lang w:val="zh-CN"/>
        </w:rPr>
        <w:fldChar w:fldCharType="separate"/>
      </w:r>
      <w:r>
        <w:rPr>
          <w:rFonts w:hint="default" w:ascii="Times New Roman" w:hAnsi="Times New Roman" w:cs="Times New Roman"/>
        </w:rPr>
        <w:t>●</w:t>
      </w:r>
      <w:r>
        <w:rPr>
          <w:rFonts w:hint="eastAsia" w:ascii="仿宋_GB2312" w:hAnsi="仿宋_GB2312" w:cs="仿宋_GB2312"/>
          <w:sz w:val="30"/>
          <w:szCs w:val="30"/>
          <w:lang w:val="en-US" w:eastAsia="zh-CN"/>
        </w:rPr>
        <w:t>湖州市</w:t>
      </w:r>
      <w:r>
        <w:rPr>
          <w:rFonts w:hint="default" w:ascii="Times New Roman" w:hAnsi="Times New Roman" w:cs="Times New Roman"/>
          <w:lang w:val="en-US" w:eastAsia="zh-CN"/>
        </w:rPr>
        <w:t>受邀参加</w:t>
      </w:r>
      <w:r>
        <w:rPr>
          <w:rFonts w:hint="eastAsia"/>
        </w:rPr>
        <w:t>香港绿色金融论坛</w:t>
      </w:r>
      <w:r>
        <w:rPr>
          <w:rFonts w:hint="eastAsia"/>
          <w:lang w:eastAsia="zh-CN"/>
        </w:rPr>
        <w:t>和</w:t>
      </w:r>
      <w:r>
        <w:rPr>
          <w:rFonts w:hint="eastAsia"/>
        </w:rPr>
        <w:t>绿金</w:t>
      </w:r>
      <w:r>
        <w:rPr>
          <w:rFonts w:hint="eastAsia"/>
          <w:lang w:eastAsia="zh-CN"/>
        </w:rPr>
        <w:t>协会</w:t>
      </w:r>
      <w:r>
        <w:rPr>
          <w:rFonts w:hint="eastAsia"/>
        </w:rPr>
        <w:t>成立大会</w:t>
      </w:r>
      <w:r>
        <w:tab/>
      </w:r>
      <w:r>
        <w:fldChar w:fldCharType="begin"/>
      </w:r>
      <w:r>
        <w:instrText xml:space="preserve"> PAGEREF _Toc28758 </w:instrText>
      </w:r>
      <w:r>
        <w:fldChar w:fldCharType="separate"/>
      </w:r>
      <w:r>
        <w:t>4</w:t>
      </w:r>
      <w:r>
        <w:fldChar w:fldCharType="end"/>
      </w:r>
      <w:r>
        <w:rPr>
          <w:rFonts w:hint="default" w:ascii="Times New Roman" w:hAnsi="Times New Roman" w:eastAsia="仿宋_GB2312" w:cs="Times New Roman"/>
          <w:color w:val="auto"/>
          <w:szCs w:val="44"/>
          <w:lang w:val="zh-CN"/>
        </w:rPr>
        <w:fldChar w:fldCharType="end"/>
      </w:r>
    </w:p>
    <w:p>
      <w:pPr>
        <w:pStyle w:val="10"/>
        <w:pageBreakBefore w:val="0"/>
        <w:tabs>
          <w:tab w:val="right" w:leader="dot" w:pos="8306"/>
          <w:tab w:val="clear" w:pos="8296"/>
        </w:tabs>
        <w:kinsoku/>
        <w:wordWrap/>
        <w:overflowPunct/>
        <w:topLinePunct w:val="0"/>
        <w:autoSpaceDE/>
        <w:autoSpaceDN/>
        <w:bidi w:val="0"/>
        <w:adjustRightInd/>
        <w:snapToGrid/>
        <w:spacing w:line="440" w:lineRule="exact"/>
        <w:ind w:left="0" w:leftChars="0" w:firstLine="0" w:firstLineChars="0"/>
        <w:textAlignment w:val="auto"/>
      </w:pPr>
      <w:r>
        <w:rPr>
          <w:rFonts w:hint="default" w:ascii="Times New Roman" w:hAnsi="Times New Roman" w:eastAsia="仿宋_GB2312" w:cs="Times New Roman"/>
          <w:color w:val="auto"/>
          <w:szCs w:val="44"/>
          <w:lang w:val="zh-CN"/>
        </w:rPr>
        <w:fldChar w:fldCharType="begin"/>
      </w:r>
      <w:r>
        <w:rPr>
          <w:rFonts w:hint="default" w:ascii="Times New Roman" w:hAnsi="Times New Roman" w:eastAsia="仿宋_GB2312" w:cs="Times New Roman"/>
          <w:szCs w:val="44"/>
          <w:lang w:val="zh-CN"/>
        </w:rPr>
        <w:instrText xml:space="preserve"> HYPERLINK \l _Toc30425 </w:instrText>
      </w:r>
      <w:r>
        <w:rPr>
          <w:rFonts w:hint="default" w:ascii="Times New Roman" w:hAnsi="Times New Roman" w:eastAsia="仿宋_GB2312" w:cs="Times New Roman"/>
          <w:szCs w:val="44"/>
          <w:lang w:val="zh-CN"/>
        </w:rPr>
        <w:fldChar w:fldCharType="separate"/>
      </w:r>
      <w:r>
        <w:rPr>
          <w:rFonts w:hint="default" w:ascii="Times New Roman" w:hAnsi="Times New Roman" w:cs="Times New Roman"/>
        </w:rPr>
        <w:t>●安吉县信贷净投放首次突破100亿元</w:t>
      </w:r>
      <w:r>
        <w:tab/>
      </w:r>
      <w:r>
        <w:fldChar w:fldCharType="begin"/>
      </w:r>
      <w:r>
        <w:instrText xml:space="preserve"> PAGEREF _Toc30425 </w:instrText>
      </w:r>
      <w:r>
        <w:fldChar w:fldCharType="separate"/>
      </w:r>
      <w:r>
        <w:t>4</w:t>
      </w:r>
      <w:r>
        <w:fldChar w:fldCharType="end"/>
      </w:r>
      <w:r>
        <w:rPr>
          <w:rFonts w:hint="default" w:ascii="Times New Roman" w:hAnsi="Times New Roman" w:eastAsia="仿宋_GB2312" w:cs="Times New Roman"/>
          <w:color w:val="auto"/>
          <w:szCs w:val="44"/>
          <w:lang w:val="zh-CN"/>
        </w:rPr>
        <w:fldChar w:fldCharType="end"/>
      </w:r>
    </w:p>
    <w:p>
      <w:pPr>
        <w:pStyle w:val="9"/>
        <w:pageBreakBefore w:val="0"/>
        <w:tabs>
          <w:tab w:val="right" w:leader="dot" w:pos="8306"/>
          <w:tab w:val="clear" w:pos="8296"/>
        </w:tabs>
        <w:kinsoku/>
        <w:wordWrap/>
        <w:overflowPunct/>
        <w:topLinePunct w:val="0"/>
        <w:autoSpaceDE/>
        <w:autoSpaceDN/>
        <w:bidi w:val="0"/>
        <w:adjustRightInd/>
        <w:snapToGrid/>
        <w:spacing w:line="440" w:lineRule="exact"/>
        <w:textAlignment w:val="auto"/>
      </w:pPr>
      <w:r>
        <w:rPr>
          <w:rFonts w:hint="default" w:ascii="Times New Roman" w:hAnsi="Times New Roman" w:eastAsia="仿宋_GB2312" w:cs="Times New Roman"/>
          <w:color w:val="auto"/>
          <w:szCs w:val="44"/>
          <w:lang w:val="zh-CN"/>
        </w:rPr>
        <w:fldChar w:fldCharType="begin"/>
      </w:r>
      <w:r>
        <w:rPr>
          <w:rFonts w:hint="default" w:ascii="Times New Roman" w:hAnsi="Times New Roman" w:eastAsia="仿宋_GB2312" w:cs="Times New Roman"/>
          <w:szCs w:val="44"/>
          <w:lang w:val="zh-CN"/>
        </w:rPr>
        <w:instrText xml:space="preserve"> HYPERLINK \l _Toc20469 </w:instrText>
      </w:r>
      <w:r>
        <w:rPr>
          <w:rFonts w:hint="default" w:ascii="Times New Roman" w:hAnsi="Times New Roman" w:eastAsia="仿宋_GB2312" w:cs="Times New Roman"/>
          <w:szCs w:val="44"/>
          <w:lang w:val="zh-CN"/>
        </w:rPr>
        <w:fldChar w:fldCharType="separate"/>
      </w:r>
      <w:r>
        <w:rPr>
          <w:rFonts w:hint="default" w:ascii="Times New Roman" w:hAnsi="Times New Roman" w:cs="Times New Roman"/>
        </w:rPr>
        <w:t>【金融发展】</w:t>
      </w:r>
      <w:r>
        <w:tab/>
      </w:r>
      <w:r>
        <w:fldChar w:fldCharType="begin"/>
      </w:r>
      <w:r>
        <w:instrText xml:space="preserve"> PAGEREF _Toc20469 </w:instrText>
      </w:r>
      <w:r>
        <w:fldChar w:fldCharType="separate"/>
      </w:r>
      <w:r>
        <w:t>6</w:t>
      </w:r>
      <w:r>
        <w:fldChar w:fldCharType="end"/>
      </w:r>
      <w:r>
        <w:rPr>
          <w:rFonts w:hint="default" w:ascii="Times New Roman" w:hAnsi="Times New Roman" w:eastAsia="仿宋_GB2312" w:cs="Times New Roman"/>
          <w:color w:val="auto"/>
          <w:szCs w:val="44"/>
          <w:lang w:val="zh-CN"/>
        </w:rPr>
        <w:fldChar w:fldCharType="end"/>
      </w:r>
    </w:p>
    <w:p>
      <w:pPr>
        <w:pStyle w:val="6"/>
        <w:pageBreakBefore w:val="0"/>
        <w:tabs>
          <w:tab w:val="right" w:leader="dot" w:pos="8306"/>
        </w:tabs>
        <w:kinsoku/>
        <w:wordWrap/>
        <w:overflowPunct/>
        <w:topLinePunct w:val="0"/>
        <w:autoSpaceDE/>
        <w:autoSpaceDN/>
        <w:bidi w:val="0"/>
        <w:adjustRightInd/>
        <w:snapToGrid/>
        <w:spacing w:line="440" w:lineRule="exact"/>
        <w:ind w:left="0" w:leftChars="0" w:firstLine="0" w:firstLineChars="0"/>
        <w:textAlignment w:val="auto"/>
      </w:pPr>
      <w:r>
        <w:rPr>
          <w:rFonts w:hint="default" w:ascii="Times New Roman" w:hAnsi="Times New Roman" w:cs="Times New Roman"/>
        </w:rPr>
        <w:t>●</w:t>
      </w:r>
      <w:r>
        <w:rPr>
          <w:rFonts w:hint="default" w:ascii="Times New Roman" w:hAnsi="Times New Roman" w:eastAsia="仿宋_GB2312" w:cs="Times New Roman"/>
          <w:color w:val="auto"/>
          <w:szCs w:val="44"/>
          <w:lang w:val="zh-CN"/>
        </w:rPr>
        <w:fldChar w:fldCharType="begin"/>
      </w:r>
      <w:r>
        <w:rPr>
          <w:rFonts w:hint="default" w:ascii="Times New Roman" w:hAnsi="Times New Roman" w:eastAsia="仿宋_GB2312" w:cs="Times New Roman"/>
          <w:szCs w:val="44"/>
          <w:lang w:val="zh-CN"/>
        </w:rPr>
        <w:instrText xml:space="preserve"> HYPERLINK \l _Toc29860 </w:instrText>
      </w:r>
      <w:r>
        <w:rPr>
          <w:rFonts w:hint="default" w:ascii="Times New Roman" w:hAnsi="Times New Roman" w:eastAsia="仿宋_GB2312" w:cs="Times New Roman"/>
          <w:szCs w:val="44"/>
          <w:lang w:val="zh-CN"/>
        </w:rPr>
        <w:fldChar w:fldCharType="separate"/>
      </w:r>
      <w:r>
        <w:rPr>
          <w:rFonts w:hint="eastAsia" w:ascii="仿宋_GB2312" w:hAnsi="仿宋_GB2312" w:eastAsia="仿宋_GB2312" w:cs="仿宋_GB2312"/>
          <w:bCs/>
          <w:i w:val="0"/>
          <w:caps w:val="0"/>
          <w:spacing w:val="0"/>
          <w:szCs w:val="36"/>
        </w:rPr>
        <w:t>湖州市构建“绿贷通”平台创新银企对接新模式推动金融领域“最多跑一次”改革</w:t>
      </w:r>
      <w:r>
        <w:tab/>
      </w:r>
      <w:r>
        <w:fldChar w:fldCharType="begin"/>
      </w:r>
      <w:r>
        <w:instrText xml:space="preserve"> PAGEREF _Toc29860 </w:instrText>
      </w:r>
      <w:r>
        <w:fldChar w:fldCharType="separate"/>
      </w:r>
      <w:r>
        <w:t>6</w:t>
      </w:r>
      <w:r>
        <w:fldChar w:fldCharType="end"/>
      </w:r>
      <w:r>
        <w:rPr>
          <w:rFonts w:hint="default" w:ascii="Times New Roman" w:hAnsi="Times New Roman" w:eastAsia="仿宋_GB2312" w:cs="Times New Roman"/>
          <w:color w:val="auto"/>
          <w:szCs w:val="44"/>
          <w:lang w:val="zh-CN"/>
        </w:rPr>
        <w:fldChar w:fldCharType="end"/>
      </w:r>
    </w:p>
    <w:p>
      <w:pPr>
        <w:pStyle w:val="10"/>
        <w:pageBreakBefore w:val="0"/>
        <w:tabs>
          <w:tab w:val="right" w:leader="dot" w:pos="8306"/>
          <w:tab w:val="clear" w:pos="8296"/>
        </w:tabs>
        <w:kinsoku/>
        <w:wordWrap/>
        <w:overflowPunct/>
        <w:topLinePunct w:val="0"/>
        <w:autoSpaceDE/>
        <w:autoSpaceDN/>
        <w:bidi w:val="0"/>
        <w:adjustRightInd/>
        <w:snapToGrid/>
        <w:spacing w:line="440" w:lineRule="exact"/>
        <w:ind w:left="0" w:leftChars="0" w:firstLine="0" w:firstLineChars="0"/>
        <w:textAlignment w:val="auto"/>
      </w:pPr>
      <w:r>
        <w:rPr>
          <w:rFonts w:hint="default" w:ascii="Times New Roman" w:hAnsi="Times New Roman" w:cs="Times New Roman"/>
        </w:rPr>
        <w:t>●</w:t>
      </w:r>
      <w:r>
        <w:rPr>
          <w:rFonts w:hint="default" w:ascii="Times New Roman" w:hAnsi="Times New Roman" w:eastAsia="仿宋_GB2312" w:cs="Times New Roman"/>
          <w:color w:val="auto"/>
          <w:szCs w:val="44"/>
          <w:lang w:val="zh-CN"/>
        </w:rPr>
        <w:fldChar w:fldCharType="begin"/>
      </w:r>
      <w:r>
        <w:rPr>
          <w:rFonts w:hint="default" w:ascii="Times New Roman" w:hAnsi="Times New Roman" w:eastAsia="仿宋_GB2312" w:cs="Times New Roman"/>
          <w:szCs w:val="44"/>
          <w:lang w:val="zh-CN"/>
        </w:rPr>
        <w:instrText xml:space="preserve"> HYPERLINK \l _Toc21698 </w:instrText>
      </w:r>
      <w:r>
        <w:rPr>
          <w:rFonts w:hint="default" w:ascii="Times New Roman" w:hAnsi="Times New Roman" w:eastAsia="仿宋_GB2312" w:cs="Times New Roman"/>
          <w:szCs w:val="44"/>
          <w:lang w:val="zh-CN"/>
        </w:rPr>
        <w:fldChar w:fldCharType="separate"/>
      </w:r>
      <w:r>
        <w:rPr>
          <w:rFonts w:hint="eastAsia" w:ascii="仿宋_GB2312" w:hAnsi="仿宋_GB2312" w:eastAsia="仿宋_GB2312" w:cs="仿宋_GB2312"/>
          <w:szCs w:val="36"/>
          <w:highlight w:val="none"/>
        </w:rPr>
        <w:t>南浔区以金融活水助力乡村振兴</w:t>
      </w:r>
      <w:r>
        <w:tab/>
      </w:r>
      <w:r>
        <w:fldChar w:fldCharType="begin"/>
      </w:r>
      <w:r>
        <w:instrText xml:space="preserve"> PAGEREF _Toc21698 </w:instrText>
      </w:r>
      <w:r>
        <w:fldChar w:fldCharType="separate"/>
      </w:r>
      <w:r>
        <w:t>9</w:t>
      </w:r>
      <w:r>
        <w:fldChar w:fldCharType="end"/>
      </w:r>
      <w:r>
        <w:rPr>
          <w:rFonts w:hint="default" w:ascii="Times New Roman" w:hAnsi="Times New Roman" w:eastAsia="仿宋_GB2312" w:cs="Times New Roman"/>
          <w:color w:val="auto"/>
          <w:szCs w:val="44"/>
          <w:lang w:val="zh-CN"/>
        </w:rPr>
        <w:fldChar w:fldCharType="end"/>
      </w:r>
    </w:p>
    <w:p>
      <w:pPr>
        <w:pStyle w:val="10"/>
        <w:pageBreakBefore w:val="0"/>
        <w:tabs>
          <w:tab w:val="right" w:leader="dot" w:pos="8306"/>
          <w:tab w:val="clear" w:pos="8296"/>
        </w:tabs>
        <w:kinsoku/>
        <w:wordWrap/>
        <w:overflowPunct/>
        <w:topLinePunct w:val="0"/>
        <w:autoSpaceDE/>
        <w:autoSpaceDN/>
        <w:bidi w:val="0"/>
        <w:adjustRightInd/>
        <w:snapToGrid/>
        <w:spacing w:line="440" w:lineRule="exact"/>
        <w:ind w:left="0" w:leftChars="0" w:firstLine="0" w:firstLineChars="0"/>
        <w:textAlignment w:val="auto"/>
      </w:pPr>
      <w:r>
        <w:rPr>
          <w:rFonts w:hint="default" w:ascii="Times New Roman" w:hAnsi="Times New Roman" w:cs="Times New Roman"/>
        </w:rPr>
        <w:t>●</w:t>
      </w:r>
      <w:r>
        <w:rPr>
          <w:rFonts w:hint="default" w:ascii="Times New Roman" w:hAnsi="Times New Roman" w:eastAsia="仿宋_GB2312" w:cs="Times New Roman"/>
          <w:color w:val="auto"/>
          <w:szCs w:val="44"/>
          <w:lang w:val="zh-CN"/>
        </w:rPr>
        <w:fldChar w:fldCharType="begin"/>
      </w:r>
      <w:r>
        <w:rPr>
          <w:rFonts w:hint="default" w:ascii="Times New Roman" w:hAnsi="Times New Roman" w:eastAsia="仿宋_GB2312" w:cs="Times New Roman"/>
          <w:szCs w:val="44"/>
          <w:lang w:val="zh-CN"/>
        </w:rPr>
        <w:instrText xml:space="preserve"> HYPERLINK \l _Toc28505 </w:instrText>
      </w:r>
      <w:r>
        <w:rPr>
          <w:rFonts w:hint="default" w:ascii="Times New Roman" w:hAnsi="Times New Roman" w:eastAsia="仿宋_GB2312" w:cs="Times New Roman"/>
          <w:szCs w:val="44"/>
          <w:lang w:val="zh-CN"/>
        </w:rPr>
        <w:fldChar w:fldCharType="separate"/>
      </w:r>
      <w:r>
        <w:rPr>
          <w:rFonts w:hint="eastAsia" w:ascii="仿宋_GB2312" w:hAnsi="仿宋_GB2312" w:eastAsia="仿宋_GB2312" w:cs="仿宋_GB2312"/>
          <w:szCs w:val="32"/>
          <w:lang w:eastAsia="zh-CN"/>
        </w:rPr>
        <w:t>吴兴区三线并推防范和化解企业债务风险</w:t>
      </w:r>
      <w:r>
        <w:tab/>
      </w:r>
      <w:r>
        <w:fldChar w:fldCharType="begin"/>
      </w:r>
      <w:r>
        <w:instrText xml:space="preserve"> PAGEREF _Toc28505 </w:instrText>
      </w:r>
      <w:r>
        <w:fldChar w:fldCharType="separate"/>
      </w:r>
      <w:r>
        <w:t>11</w:t>
      </w:r>
      <w:r>
        <w:fldChar w:fldCharType="end"/>
      </w:r>
      <w:r>
        <w:rPr>
          <w:rFonts w:hint="default" w:ascii="Times New Roman" w:hAnsi="Times New Roman" w:eastAsia="仿宋_GB2312" w:cs="Times New Roman"/>
          <w:color w:val="auto"/>
          <w:szCs w:val="44"/>
          <w:lang w:val="zh-CN"/>
        </w:rPr>
        <w:fldChar w:fldCharType="end"/>
      </w:r>
    </w:p>
    <w:p>
      <w:pPr>
        <w:pStyle w:val="9"/>
        <w:pageBreakBefore w:val="0"/>
        <w:tabs>
          <w:tab w:val="right" w:leader="dot" w:pos="8306"/>
          <w:tab w:val="clear" w:pos="8296"/>
        </w:tabs>
        <w:kinsoku/>
        <w:wordWrap/>
        <w:overflowPunct/>
        <w:topLinePunct w:val="0"/>
        <w:autoSpaceDE/>
        <w:autoSpaceDN/>
        <w:bidi w:val="0"/>
        <w:adjustRightInd/>
        <w:snapToGrid/>
        <w:spacing w:line="440" w:lineRule="exact"/>
        <w:textAlignment w:val="auto"/>
      </w:pPr>
      <w:r>
        <w:rPr>
          <w:rFonts w:hint="default" w:ascii="Times New Roman" w:hAnsi="Times New Roman" w:eastAsia="仿宋_GB2312" w:cs="Times New Roman"/>
          <w:color w:val="auto"/>
          <w:szCs w:val="44"/>
          <w:lang w:val="zh-CN"/>
        </w:rPr>
        <w:fldChar w:fldCharType="begin"/>
      </w:r>
      <w:r>
        <w:rPr>
          <w:rFonts w:hint="default" w:ascii="Times New Roman" w:hAnsi="Times New Roman" w:eastAsia="仿宋_GB2312" w:cs="Times New Roman"/>
          <w:szCs w:val="44"/>
          <w:lang w:val="zh-CN"/>
        </w:rPr>
        <w:instrText xml:space="preserve"> HYPERLINK \l _Toc15988 </w:instrText>
      </w:r>
      <w:r>
        <w:rPr>
          <w:rFonts w:hint="default" w:ascii="Times New Roman" w:hAnsi="Times New Roman" w:eastAsia="仿宋_GB2312" w:cs="Times New Roman"/>
          <w:szCs w:val="44"/>
          <w:lang w:val="zh-CN"/>
        </w:rPr>
        <w:fldChar w:fldCharType="separate"/>
      </w:r>
      <w:r>
        <w:rPr>
          <w:rFonts w:hint="default"/>
        </w:rPr>
        <w:t>【金融机构】</w:t>
      </w:r>
      <w:r>
        <w:tab/>
      </w:r>
      <w:r>
        <w:fldChar w:fldCharType="begin"/>
      </w:r>
      <w:r>
        <w:instrText xml:space="preserve"> PAGEREF _Toc15988 </w:instrText>
      </w:r>
      <w:r>
        <w:fldChar w:fldCharType="separate"/>
      </w:r>
      <w:r>
        <w:t>12</w:t>
      </w:r>
      <w:r>
        <w:fldChar w:fldCharType="end"/>
      </w:r>
      <w:r>
        <w:rPr>
          <w:rFonts w:hint="default" w:ascii="Times New Roman" w:hAnsi="Times New Roman" w:eastAsia="仿宋_GB2312" w:cs="Times New Roman"/>
          <w:color w:val="auto"/>
          <w:szCs w:val="44"/>
          <w:lang w:val="zh-CN"/>
        </w:rPr>
        <w:fldChar w:fldCharType="end"/>
      </w:r>
    </w:p>
    <w:p>
      <w:pPr>
        <w:pStyle w:val="10"/>
        <w:pageBreakBefore w:val="0"/>
        <w:tabs>
          <w:tab w:val="right" w:leader="dot" w:pos="8306"/>
          <w:tab w:val="clear" w:pos="8296"/>
        </w:tabs>
        <w:kinsoku/>
        <w:wordWrap/>
        <w:overflowPunct/>
        <w:topLinePunct w:val="0"/>
        <w:autoSpaceDE/>
        <w:autoSpaceDN/>
        <w:bidi w:val="0"/>
        <w:adjustRightInd/>
        <w:snapToGrid/>
        <w:spacing w:line="440" w:lineRule="exact"/>
        <w:ind w:left="0" w:leftChars="0" w:firstLine="0" w:firstLineChars="0"/>
        <w:textAlignment w:val="auto"/>
      </w:pPr>
      <w:r>
        <w:rPr>
          <w:rFonts w:hint="default" w:ascii="Times New Roman" w:hAnsi="Times New Roman" w:eastAsia="仿宋_GB2312" w:cs="Times New Roman"/>
          <w:color w:val="auto"/>
          <w:szCs w:val="44"/>
          <w:lang w:val="zh-CN"/>
        </w:rPr>
        <w:fldChar w:fldCharType="begin"/>
      </w:r>
      <w:r>
        <w:rPr>
          <w:rFonts w:hint="default" w:ascii="Times New Roman" w:hAnsi="Times New Roman" w:eastAsia="仿宋_GB2312" w:cs="Times New Roman"/>
          <w:szCs w:val="44"/>
          <w:lang w:val="zh-CN"/>
        </w:rPr>
        <w:instrText xml:space="preserve"> HYPERLINK \l _Toc17780 </w:instrText>
      </w:r>
      <w:r>
        <w:rPr>
          <w:rFonts w:hint="default" w:ascii="Times New Roman" w:hAnsi="Times New Roman" w:eastAsia="仿宋_GB2312" w:cs="Times New Roman"/>
          <w:szCs w:val="44"/>
          <w:lang w:val="zh-CN"/>
        </w:rPr>
        <w:fldChar w:fldCharType="separate"/>
      </w:r>
      <w:r>
        <w:rPr>
          <w:rFonts w:hint="default" w:ascii="Times New Roman" w:hAnsi="Times New Roman" w:cs="Times New Roman"/>
        </w:rPr>
        <w:t>●</w:t>
      </w:r>
      <w:r>
        <w:rPr>
          <w:rFonts w:hint="default" w:ascii="Times New Roman" w:hAnsi="Times New Roman" w:cs="Times New Roman"/>
          <w:lang w:val="en-US" w:eastAsia="zh-CN"/>
        </w:rPr>
        <w:t>邮储银行发放</w:t>
      </w:r>
      <w:r>
        <w:rPr>
          <w:rFonts w:hint="eastAsia" w:cs="Times New Roman"/>
          <w:lang w:val="en-US" w:eastAsia="zh-CN"/>
        </w:rPr>
        <w:t>全省首笔</w:t>
      </w:r>
      <w:r>
        <w:rPr>
          <w:rFonts w:hint="default" w:ascii="Times New Roman" w:hAnsi="Times New Roman" w:cs="Times New Roman"/>
          <w:lang w:val="en-US" w:eastAsia="zh-CN"/>
        </w:rPr>
        <w:t>绿色金融专项贷款</w:t>
      </w:r>
      <w:r>
        <w:rPr>
          <w:rFonts w:hint="eastAsia" w:cs="Times New Roman"/>
          <w:lang w:val="en-US" w:eastAsia="zh-CN"/>
        </w:rPr>
        <w:t xml:space="preserve"> </w:t>
      </w:r>
      <w:r>
        <w:rPr>
          <w:rFonts w:hint="default" w:ascii="Times New Roman" w:hAnsi="Times New Roman" w:cs="Times New Roman"/>
          <w:lang w:val="en-US" w:eastAsia="zh-CN"/>
        </w:rPr>
        <w:t>助力长龙山项目建</w:t>
      </w:r>
      <w:bookmarkStart w:id="53" w:name="_GoBack"/>
      <w:bookmarkEnd w:id="53"/>
      <w:r>
        <w:rPr>
          <w:rFonts w:hint="default" w:ascii="Times New Roman" w:hAnsi="Times New Roman" w:cs="Times New Roman"/>
          <w:lang w:val="en-US" w:eastAsia="zh-CN"/>
        </w:rPr>
        <w:t>设</w:t>
      </w:r>
      <w:r>
        <w:tab/>
      </w:r>
      <w:r>
        <w:fldChar w:fldCharType="begin"/>
      </w:r>
      <w:r>
        <w:instrText xml:space="preserve"> PAGEREF _Toc17780 </w:instrText>
      </w:r>
      <w:r>
        <w:fldChar w:fldCharType="separate"/>
      </w:r>
      <w:r>
        <w:t>12</w:t>
      </w:r>
      <w:r>
        <w:fldChar w:fldCharType="end"/>
      </w:r>
      <w:r>
        <w:rPr>
          <w:rFonts w:hint="default" w:ascii="Times New Roman" w:hAnsi="Times New Roman" w:eastAsia="仿宋_GB2312" w:cs="Times New Roman"/>
          <w:color w:val="auto"/>
          <w:szCs w:val="44"/>
          <w:lang w:val="zh-CN"/>
        </w:rPr>
        <w:fldChar w:fldCharType="end"/>
      </w:r>
    </w:p>
    <w:p>
      <w:pPr>
        <w:pStyle w:val="10"/>
        <w:pageBreakBefore w:val="0"/>
        <w:tabs>
          <w:tab w:val="right" w:leader="dot" w:pos="8306"/>
          <w:tab w:val="clear" w:pos="8296"/>
        </w:tabs>
        <w:kinsoku/>
        <w:wordWrap/>
        <w:overflowPunct/>
        <w:topLinePunct w:val="0"/>
        <w:autoSpaceDE/>
        <w:autoSpaceDN/>
        <w:bidi w:val="0"/>
        <w:adjustRightInd/>
        <w:snapToGrid/>
        <w:spacing w:line="440" w:lineRule="exact"/>
        <w:ind w:left="0" w:leftChars="0" w:firstLine="0" w:firstLineChars="0"/>
        <w:textAlignment w:val="auto"/>
      </w:pPr>
      <w:r>
        <w:rPr>
          <w:rFonts w:hint="default" w:ascii="Times New Roman" w:hAnsi="Times New Roman" w:eastAsia="仿宋_GB2312" w:cs="Times New Roman"/>
          <w:color w:val="auto"/>
          <w:szCs w:val="44"/>
          <w:lang w:val="zh-CN"/>
        </w:rPr>
        <w:fldChar w:fldCharType="begin"/>
      </w:r>
      <w:r>
        <w:rPr>
          <w:rFonts w:hint="default" w:ascii="Times New Roman" w:hAnsi="Times New Roman" w:eastAsia="仿宋_GB2312" w:cs="Times New Roman"/>
          <w:szCs w:val="44"/>
          <w:lang w:val="zh-CN"/>
        </w:rPr>
        <w:instrText xml:space="preserve"> HYPERLINK \l _Toc8365 </w:instrText>
      </w:r>
      <w:r>
        <w:rPr>
          <w:rFonts w:hint="default" w:ascii="Times New Roman" w:hAnsi="Times New Roman" w:eastAsia="仿宋_GB2312" w:cs="Times New Roman"/>
          <w:szCs w:val="44"/>
          <w:lang w:val="zh-CN"/>
        </w:rPr>
        <w:fldChar w:fldCharType="separate"/>
      </w:r>
      <w:r>
        <w:rPr>
          <w:rFonts w:hint="default" w:ascii="Times New Roman" w:hAnsi="Times New Roman" w:cs="Times New Roman"/>
        </w:rPr>
        <w:t>●</w:t>
      </w:r>
      <w:r>
        <w:rPr>
          <w:rFonts w:hint="default" w:ascii="Times New Roman" w:hAnsi="Times New Roman" w:cs="Times New Roman"/>
          <w:lang w:val="en-US" w:eastAsia="zh-CN"/>
        </w:rPr>
        <w:t>南浔银行打造“三个新金融”优化客户体验</w:t>
      </w:r>
      <w:r>
        <w:tab/>
      </w:r>
      <w:r>
        <w:fldChar w:fldCharType="begin"/>
      </w:r>
      <w:r>
        <w:instrText xml:space="preserve"> PAGEREF _Toc8365 </w:instrText>
      </w:r>
      <w:r>
        <w:fldChar w:fldCharType="separate"/>
      </w:r>
      <w:r>
        <w:t>12</w:t>
      </w:r>
      <w:r>
        <w:fldChar w:fldCharType="end"/>
      </w:r>
      <w:r>
        <w:rPr>
          <w:rFonts w:hint="default" w:ascii="Times New Roman" w:hAnsi="Times New Roman" w:eastAsia="仿宋_GB2312" w:cs="Times New Roman"/>
          <w:color w:val="auto"/>
          <w:szCs w:val="44"/>
          <w:lang w:val="zh-CN"/>
        </w:rPr>
        <w:fldChar w:fldCharType="end"/>
      </w:r>
    </w:p>
    <w:p>
      <w:pPr>
        <w:pStyle w:val="10"/>
        <w:pageBreakBefore w:val="0"/>
        <w:tabs>
          <w:tab w:val="right" w:leader="dot" w:pos="8306"/>
          <w:tab w:val="clear" w:pos="8296"/>
        </w:tabs>
        <w:kinsoku/>
        <w:wordWrap/>
        <w:overflowPunct/>
        <w:topLinePunct w:val="0"/>
        <w:autoSpaceDE/>
        <w:autoSpaceDN/>
        <w:bidi w:val="0"/>
        <w:adjustRightInd/>
        <w:snapToGrid/>
        <w:spacing w:line="440" w:lineRule="exact"/>
        <w:ind w:left="0" w:leftChars="0" w:firstLine="0" w:firstLineChars="0"/>
        <w:textAlignment w:val="auto"/>
      </w:pPr>
      <w:r>
        <w:rPr>
          <w:rFonts w:hint="default" w:ascii="Times New Roman" w:hAnsi="Times New Roman" w:eastAsia="仿宋_GB2312" w:cs="Times New Roman"/>
          <w:color w:val="auto"/>
          <w:szCs w:val="44"/>
          <w:lang w:val="zh-CN"/>
        </w:rPr>
        <w:fldChar w:fldCharType="begin"/>
      </w:r>
      <w:r>
        <w:rPr>
          <w:rFonts w:hint="default" w:ascii="Times New Roman" w:hAnsi="Times New Roman" w:eastAsia="仿宋_GB2312" w:cs="Times New Roman"/>
          <w:szCs w:val="44"/>
          <w:lang w:val="zh-CN"/>
        </w:rPr>
        <w:instrText xml:space="preserve"> HYPERLINK \l _Toc5824 </w:instrText>
      </w:r>
      <w:r>
        <w:rPr>
          <w:rFonts w:hint="default" w:ascii="Times New Roman" w:hAnsi="Times New Roman" w:eastAsia="仿宋_GB2312" w:cs="Times New Roman"/>
          <w:szCs w:val="44"/>
          <w:lang w:val="zh-CN"/>
        </w:rPr>
        <w:fldChar w:fldCharType="separate"/>
      </w:r>
      <w:r>
        <w:rPr>
          <w:rFonts w:hint="default" w:ascii="Times New Roman" w:hAnsi="Times New Roman" w:cs="Times New Roman"/>
        </w:rPr>
        <w:t>●</w:t>
      </w:r>
      <w:r>
        <w:rPr>
          <w:rFonts w:hint="default" w:ascii="Times New Roman" w:hAnsi="Times New Roman" w:cs="Times New Roman"/>
          <w:lang w:val="en-US" w:eastAsia="zh-CN"/>
        </w:rPr>
        <w:t>安吉农商行成功发放全省首笔“丰收先锋贷”</w:t>
      </w:r>
      <w:r>
        <w:tab/>
      </w:r>
      <w:r>
        <w:fldChar w:fldCharType="begin"/>
      </w:r>
      <w:r>
        <w:instrText xml:space="preserve"> PAGEREF _Toc5824 </w:instrText>
      </w:r>
      <w:r>
        <w:fldChar w:fldCharType="separate"/>
      </w:r>
      <w:r>
        <w:t>13</w:t>
      </w:r>
      <w:r>
        <w:fldChar w:fldCharType="end"/>
      </w:r>
      <w:r>
        <w:rPr>
          <w:rFonts w:hint="default" w:ascii="Times New Roman" w:hAnsi="Times New Roman" w:eastAsia="仿宋_GB2312" w:cs="Times New Roman"/>
          <w:color w:val="auto"/>
          <w:szCs w:val="44"/>
          <w:lang w:val="zh-CN"/>
        </w:rPr>
        <w:fldChar w:fldCharType="end"/>
      </w:r>
    </w:p>
    <w:p>
      <w:pPr>
        <w:pStyle w:val="18"/>
        <w:pageBreakBefore w:val="0"/>
        <w:kinsoku/>
        <w:wordWrap/>
        <w:overflowPunct/>
        <w:topLinePunct w:val="0"/>
        <w:autoSpaceDE/>
        <w:autoSpaceDN/>
        <w:bidi w:val="0"/>
        <w:adjustRightInd/>
        <w:snapToGrid/>
        <w:spacing w:before="0" w:after="0" w:line="440" w:lineRule="exact"/>
        <w:ind w:left="0" w:leftChars="0" w:right="0" w:rightChars="0" w:firstLine="0" w:firstLineChars="0"/>
        <w:jc w:val="both"/>
        <w:textAlignment w:val="auto"/>
      </w:pPr>
      <w:r>
        <w:rPr>
          <w:rFonts w:hint="default" w:ascii="Times New Roman" w:hAnsi="Times New Roman" w:eastAsia="仿宋_GB2312" w:cs="Times New Roman"/>
          <w:color w:val="auto"/>
          <w:szCs w:val="44"/>
          <w:lang w:val="zh-CN"/>
        </w:rPr>
        <w:fldChar w:fldCharType="end"/>
      </w:r>
      <w:r>
        <w:rPr>
          <w:rFonts w:hint="default" w:ascii="Times New Roman" w:hAnsi="Times New Roman" w:eastAsia="仿宋_GB2312" w:cs="Times New Roman"/>
          <w:b w:val="0"/>
          <w:color w:val="auto"/>
          <w:sz w:val="44"/>
          <w:szCs w:val="44"/>
          <w:lang w:val="zh-CN"/>
        </w:rPr>
        <w:br w:type="page"/>
      </w:r>
      <w:bookmarkStart w:id="0" w:name="_Toc3139"/>
      <w:bookmarkStart w:id="1" w:name="_Toc25257"/>
      <w:bookmarkStart w:id="2" w:name="_Toc30030"/>
      <w:bookmarkStart w:id="3" w:name="_Toc26062"/>
      <w:bookmarkStart w:id="4" w:name="_Toc21663"/>
      <w:bookmarkStart w:id="5" w:name="_Toc17631"/>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0"/>
        <w:rPr>
          <w:rStyle w:val="16"/>
          <w:rFonts w:hint="default" w:ascii="Times New Roman" w:hAnsi="Times New Roman" w:cs="Times New Roman"/>
          <w:bCs/>
        </w:rPr>
      </w:pPr>
      <w:bookmarkStart w:id="6" w:name="_Toc11124"/>
      <w:bookmarkStart w:id="7" w:name="_Toc18040"/>
      <w:r>
        <w:rPr>
          <w:rFonts w:hint="default" w:ascii="Times New Roman" w:hAnsi="Times New Roman" w:cs="Times New Roman"/>
          <w:lang w:val="en-US" w:eastAsia="zh-CN"/>
        </w:rPr>
        <w:t>【金融动态】</w:t>
      </w:r>
      <w:bookmarkEnd w:id="6"/>
      <w:bookmarkEnd w:id="7"/>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仿宋_GB2312"/>
          <w:sz w:val="30"/>
          <w:szCs w:val="30"/>
          <w:lang w:val="en-US" w:eastAsia="zh-CN" w:bidi="ar"/>
        </w:rPr>
      </w:pPr>
      <w:bookmarkStart w:id="8" w:name="_Toc14700"/>
      <w:bookmarkStart w:id="9" w:name="_Toc29836"/>
      <w:bookmarkStart w:id="10" w:name="_Toc1505"/>
      <w:bookmarkStart w:id="11" w:name="_Toc25973"/>
      <w:bookmarkStart w:id="12" w:name="_Toc17029"/>
      <w:bookmarkStart w:id="13" w:name="_Toc11348"/>
      <w:r>
        <w:rPr>
          <w:rStyle w:val="16"/>
          <w:rFonts w:hint="default" w:ascii="Times New Roman" w:hAnsi="Times New Roman" w:cs="Times New Roman"/>
        </w:rPr>
        <w:t>●</w:t>
      </w:r>
      <w:bookmarkEnd w:id="8"/>
      <w:bookmarkEnd w:id="9"/>
      <w:bookmarkEnd w:id="10"/>
      <w:bookmarkEnd w:id="11"/>
      <w:bookmarkEnd w:id="12"/>
      <w:r>
        <w:rPr>
          <w:rStyle w:val="16"/>
          <w:rFonts w:hint="default" w:ascii="Times New Roman" w:hAnsi="Times New Roman" w:cs="Times New Roman"/>
        </w:rPr>
        <w:t>中国人民银行研究局来湖调研绿色金融工作</w:t>
      </w:r>
      <w:bookmarkEnd w:id="13"/>
      <w:r>
        <w:rPr>
          <w:rFonts w:hint="default" w:ascii="Times New Roman" w:hAnsi="Times New Roman" w:cs="Times New Roman"/>
          <w:b/>
          <w:bCs/>
        </w:rPr>
        <w:t>。</w:t>
      </w:r>
      <w:r>
        <w:rPr>
          <w:rFonts w:hint="eastAsia" w:ascii="仿宋_GB2312" w:hAnsi="仿宋_GB2312" w:eastAsia="仿宋_GB2312" w:cs="仿宋_GB2312"/>
          <w:sz w:val="30"/>
          <w:szCs w:val="30"/>
          <w:lang w:val="en-US" w:eastAsia="zh-CN" w:bidi="ar"/>
        </w:rPr>
        <w:t>自我市去年6月23日获批建设绿色金融改革创新试验区以来，通过践行绿色理念，构建绿色金融，推动绿色发展，取得了阶段性成效，并被中共中央财经委员会办公室确定为践行习近平新时代中国特色社会主义经济思想典型调研点。</w:t>
      </w:r>
    </w:p>
    <w:p>
      <w:pPr>
        <w:keepNext w:val="0"/>
        <w:keepLines w:val="0"/>
        <w:pageBreakBefore w:val="0"/>
        <w:kinsoku/>
        <w:wordWrap/>
        <w:overflowPunct/>
        <w:topLinePunct w:val="0"/>
        <w:autoSpaceDE/>
        <w:autoSpaceDN/>
        <w:bidi w:val="0"/>
        <w:adjustRightInd/>
        <w:snapToGrid/>
        <w:spacing w:line="560" w:lineRule="exact"/>
        <w:ind w:firstLine="420"/>
        <w:textAlignment w:val="auto"/>
        <w:rPr>
          <w:rFonts w:hint="eastAsia" w:ascii="宋体" w:hAnsi="宋体" w:cs="宋体"/>
        </w:rPr>
      </w:pPr>
      <w:r>
        <w:rPr>
          <w:rFonts w:hint="eastAsia" w:ascii="仿宋_GB2312" w:hAnsi="仿宋_GB2312" w:eastAsia="仿宋_GB2312" w:cs="仿宋_GB2312"/>
          <w:kern w:val="2"/>
          <w:sz w:val="30"/>
          <w:szCs w:val="30"/>
          <w:lang w:val="en-US" w:eastAsia="zh-CN" w:bidi="ar"/>
        </w:rPr>
        <w:t>9月19日，受中央财办委托，</w:t>
      </w:r>
      <w:r>
        <w:rPr>
          <w:rFonts w:hint="eastAsia" w:ascii="宋体" w:hAnsi="宋体" w:cs="宋体"/>
        </w:rPr>
        <w:t>中国人民银行研究局副局长周诚君一行来湖调研绿色金融改革创新工作。湖州市政府副市长项乐民和浙江省委宣传部、浙江省金融办、浙江省人行等省级有关部门同志陪同调研。</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一年来，我市按照试验区建设方案明确的各项目标任务，深入践行习近平新时代中国特色社会主义经济思想，在顶层设计、标准体系、服务能力、融合联动、风险防范等方面开展了一系列富有地方特色的创新与实践，多项工作走在全国前列。截至</w:t>
      </w:r>
      <w:r>
        <w:rPr>
          <w:rFonts w:hint="eastAsia" w:cs="Times New Roman"/>
          <w:sz w:val="30"/>
          <w:szCs w:val="30"/>
          <w:lang w:val="en-US" w:eastAsia="zh-CN"/>
        </w:rPr>
        <w:t>8</w:t>
      </w:r>
      <w:r>
        <w:rPr>
          <w:rFonts w:hint="default" w:ascii="Times New Roman" w:hAnsi="Times New Roman" w:eastAsia="仿宋_GB2312" w:cs="Times New Roman"/>
          <w:sz w:val="30"/>
          <w:szCs w:val="30"/>
          <w:lang w:val="en-US" w:eastAsia="zh-CN"/>
        </w:rPr>
        <w:t>月末，全市银行机构</w:t>
      </w:r>
      <w:r>
        <w:rPr>
          <w:rFonts w:hint="eastAsia" w:cs="Times New Roman"/>
          <w:sz w:val="30"/>
          <w:szCs w:val="30"/>
          <w:lang w:val="en-US" w:eastAsia="zh-CN"/>
        </w:rPr>
        <w:t>存</w:t>
      </w:r>
      <w:r>
        <w:rPr>
          <w:rFonts w:hint="default" w:ascii="Times New Roman" w:hAnsi="Times New Roman" w:eastAsia="仿宋_GB2312" w:cs="Times New Roman"/>
          <w:sz w:val="30"/>
          <w:szCs w:val="30"/>
          <w:lang w:val="en-US" w:eastAsia="zh-CN"/>
        </w:rPr>
        <w:t>贷款余额增幅</w:t>
      </w:r>
      <w:r>
        <w:rPr>
          <w:rFonts w:hint="eastAsia" w:cs="Times New Roman"/>
          <w:sz w:val="30"/>
          <w:szCs w:val="30"/>
          <w:lang w:val="en-US" w:eastAsia="zh-CN"/>
        </w:rPr>
        <w:t>和信贷资产优良率均</w:t>
      </w:r>
      <w:r>
        <w:rPr>
          <w:rFonts w:hint="default" w:ascii="Times New Roman" w:hAnsi="Times New Roman" w:eastAsia="仿宋_GB2312" w:cs="Times New Roman"/>
          <w:sz w:val="30"/>
          <w:szCs w:val="30"/>
          <w:lang w:val="en-US" w:eastAsia="zh-CN"/>
        </w:rPr>
        <w:t>位居</w:t>
      </w:r>
      <w:r>
        <w:rPr>
          <w:rFonts w:hint="eastAsia" w:cs="Times New Roman"/>
          <w:sz w:val="30"/>
          <w:szCs w:val="30"/>
          <w:lang w:val="en-US" w:eastAsia="zh-CN"/>
        </w:rPr>
        <w:t>全</w:t>
      </w:r>
      <w:r>
        <w:rPr>
          <w:rFonts w:hint="default" w:ascii="Times New Roman" w:hAnsi="Times New Roman" w:eastAsia="仿宋_GB2312" w:cs="Times New Roman"/>
          <w:sz w:val="30"/>
          <w:szCs w:val="30"/>
          <w:lang w:val="en-US" w:eastAsia="zh-CN"/>
        </w:rPr>
        <w:t>省第</w:t>
      </w:r>
      <w:r>
        <w:rPr>
          <w:rFonts w:hint="eastAsia" w:cs="Times New Roman"/>
          <w:sz w:val="30"/>
          <w:szCs w:val="30"/>
          <w:lang w:val="en-US" w:eastAsia="zh-CN"/>
        </w:rPr>
        <w:t>2</w:t>
      </w:r>
      <w:r>
        <w:rPr>
          <w:rFonts w:hint="default" w:ascii="Times New Roman" w:hAnsi="Times New Roman" w:eastAsia="仿宋_GB2312" w:cs="Times New Roman"/>
          <w:sz w:val="30"/>
          <w:szCs w:val="30"/>
          <w:lang w:val="en-US" w:eastAsia="zh-CN"/>
        </w:rPr>
        <w:t>位，绿色信贷余额同比增长3</w:t>
      </w:r>
      <w:r>
        <w:rPr>
          <w:rFonts w:hint="eastAsia" w:cs="Times New Roman"/>
          <w:sz w:val="30"/>
          <w:szCs w:val="30"/>
          <w:lang w:val="en-US" w:eastAsia="zh-CN"/>
        </w:rPr>
        <w:t>7</w:t>
      </w:r>
      <w:r>
        <w:rPr>
          <w:rFonts w:hint="default" w:ascii="Times New Roman" w:hAnsi="Times New Roman" w:eastAsia="仿宋_GB2312" w:cs="Times New Roman"/>
          <w:sz w:val="30"/>
          <w:szCs w:val="30"/>
          <w:lang w:val="en-US" w:eastAsia="zh-CN"/>
        </w:rPr>
        <w:t>.2%，绿色信贷不良率仅为0.07%。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kern w:val="2"/>
          <w:sz w:val="30"/>
          <w:szCs w:val="30"/>
          <w:lang w:val="en-US" w:eastAsia="zh-CN" w:bidi="ar"/>
        </w:rPr>
      </w:pPr>
      <w:r>
        <w:rPr>
          <w:rFonts w:hint="eastAsia" w:ascii="仿宋_GB2312" w:hAnsi="仿宋_GB2312" w:eastAsia="仿宋_GB2312" w:cs="仿宋_GB2312"/>
          <w:kern w:val="2"/>
          <w:sz w:val="30"/>
          <w:szCs w:val="30"/>
          <w:lang w:val="en-US" w:eastAsia="zh-CN" w:bidi="ar"/>
        </w:rPr>
        <w:t>调研组一行在听取我市绿色金融改革创新试验区建设情况汇报后，实地走访了长兴天能集团、吴兴区砂洗城项目。调研组认为，湖州通过绿色理念引领绿色金融推动绿色发展，站位高、举措实、效果好，下一阶段希望进一步深入推进体制机制、商业模式、监督管理等绿色金改重要方面的探索实践，充分体现“两山”理念内涵，更好地推动绿色可持续发展，努力成为试验区典范。</w:t>
      </w:r>
      <w:r>
        <w:rPr>
          <w:rFonts w:hint="eastAsia" w:ascii="仿宋_GB2312" w:hAnsi="仿宋_GB2312" w:cs="仿宋_GB2312"/>
          <w:kern w:val="2"/>
          <w:sz w:val="30"/>
          <w:szCs w:val="30"/>
          <w:lang w:val="en-US" w:eastAsia="zh-CN" w:bidi="ar"/>
        </w:rPr>
        <w:t xml:space="preserve">                                          （综合处）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sz w:val="30"/>
          <w:szCs w:val="30"/>
          <w:lang w:val="en-US" w:eastAsia="zh-CN"/>
        </w:rPr>
      </w:pPr>
      <w:bookmarkStart w:id="14" w:name="_Toc28061"/>
      <w:r>
        <w:rPr>
          <w:rStyle w:val="16"/>
          <w:rFonts w:hint="default" w:ascii="Times New Roman" w:hAnsi="Times New Roman" w:cs="Times New Roman"/>
        </w:rPr>
        <w:t>●项乐民副市长赴人保财险湖州市分公司调研绿色保险工作</w:t>
      </w:r>
      <w:bookmarkEnd w:id="14"/>
      <w:r>
        <w:rPr>
          <w:rFonts w:hint="default" w:ascii="Times New Roman" w:hAnsi="Times New Roman" w:cs="Times New Roman"/>
          <w:b/>
          <w:bCs/>
        </w:rPr>
        <w:t>。</w:t>
      </w:r>
      <w:r>
        <w:rPr>
          <w:rFonts w:hint="eastAsia" w:ascii="仿宋_GB2312" w:hAnsi="仿宋_GB2312" w:eastAsia="仿宋_GB2312" w:cs="仿宋_GB2312"/>
          <w:sz w:val="30"/>
          <w:szCs w:val="30"/>
          <w:lang w:val="en-US" w:eastAsia="zh-CN"/>
        </w:rPr>
        <w:t>9月21日，湖州市副市长项乐民专程赴人保财险湖州市分公司调研绿色保险情况，并召开部分保险机构绿色保险座谈会。市政府副秘书长丁泉观、市金融办主任钱洪文等陪同调研。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座谈会上，人保财险湖州市分公司围绕“保护绿水青山 保障金山银山”，充分运用保险体制机制，在促进湖州市经济发展，助力地方民生改善，提升政府治理能力上所做的探索与实践的情况作了汇报。重点汇报了在绿色保险领域开展的工作，取得的成绩以及下一步的打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cs="仿宋_GB2312"/>
          <w:sz w:val="30"/>
          <w:szCs w:val="30"/>
          <w:lang w:val="en-US" w:eastAsia="zh-CN"/>
        </w:rPr>
      </w:pPr>
      <w:r>
        <w:rPr>
          <w:rFonts w:hint="eastAsia" w:ascii="仿宋_GB2312" w:hAnsi="仿宋_GB2312" w:eastAsia="仿宋_GB2312" w:cs="仿宋_GB2312"/>
          <w:sz w:val="30"/>
          <w:szCs w:val="30"/>
          <w:lang w:val="en-US" w:eastAsia="zh-CN"/>
        </w:rPr>
        <w:t>听取汇报后，项乐民副市长指出，探索和实践绿色保险是深化绿色金改的必然要求，下一步在绿色保险的探索与实践上，步子要更快、力度要更大、成效要更明显，形成更好的湖州经验、更多的湖州样板，有效助力湖州国家绿色金改试验区建设。</w:t>
      </w:r>
      <w:r>
        <w:rPr>
          <w:rFonts w:hint="eastAsia" w:ascii="仿宋_GB2312" w:hAnsi="仿宋_GB2312" w:eastAsia="仿宋_GB2312" w:cs="仿宋_GB2312"/>
          <w:b/>
          <w:bCs/>
          <w:sz w:val="30"/>
          <w:szCs w:val="30"/>
          <w:lang w:val="en-US" w:eastAsia="zh-CN"/>
        </w:rPr>
        <w:t>一要</w:t>
      </w:r>
      <w:r>
        <w:rPr>
          <w:rFonts w:hint="eastAsia" w:ascii="仿宋_GB2312" w:hAnsi="仿宋_GB2312" w:eastAsia="仿宋_GB2312" w:cs="仿宋_GB2312"/>
          <w:sz w:val="30"/>
          <w:szCs w:val="30"/>
          <w:lang w:val="en-US" w:eastAsia="zh-CN"/>
        </w:rPr>
        <w:t>瞄准主攻方向，加强政保合作，在社会治理领域和农业生态领域要先行先试。继续深入推进责任保险，提高覆盖面，开展如火灾公众责任保险等险种的试点，从而提高社会治理能力和体系的现代化。围绕湖州特色已推出了茶叶、“跑道”养鱼、湖羊、毛竹等方面的险种，还要进一步深化，开发更多有地方影响力的特色农险。</w:t>
      </w:r>
      <w:r>
        <w:rPr>
          <w:rFonts w:hint="eastAsia" w:ascii="仿宋_GB2312" w:hAnsi="仿宋_GB2312" w:eastAsia="仿宋_GB2312" w:cs="仿宋_GB2312"/>
          <w:b/>
          <w:bCs/>
          <w:sz w:val="30"/>
          <w:szCs w:val="30"/>
          <w:lang w:val="en-US" w:eastAsia="zh-CN"/>
        </w:rPr>
        <w:t>二要</w:t>
      </w:r>
      <w:r>
        <w:rPr>
          <w:rFonts w:hint="eastAsia" w:ascii="仿宋_GB2312" w:hAnsi="仿宋_GB2312" w:eastAsia="仿宋_GB2312" w:cs="仿宋_GB2312"/>
          <w:sz w:val="30"/>
          <w:szCs w:val="30"/>
          <w:lang w:val="en-US" w:eastAsia="zh-CN"/>
        </w:rPr>
        <w:t>聚焦工作重点，聚焦服务实体。继续开展“险资入湖”工程，更有效地运用好保险资金支持地方经济发展。聚焦试点示范。要向上级公司汇报好、设计好，争取更多的改革创新试点，并积极探索、创新发展、开放发展，创造更多的机会，发挥更大的社会效益。</w:t>
      </w:r>
      <w:r>
        <w:rPr>
          <w:rFonts w:hint="eastAsia" w:ascii="仿宋_GB2312" w:hAnsi="仿宋_GB2312" w:eastAsia="仿宋_GB2312" w:cs="仿宋_GB2312"/>
          <w:b/>
          <w:bCs/>
          <w:sz w:val="30"/>
          <w:szCs w:val="30"/>
          <w:lang w:val="en-US" w:eastAsia="zh-CN"/>
        </w:rPr>
        <w:t>三要</w:t>
      </w:r>
      <w:r>
        <w:rPr>
          <w:rFonts w:hint="eastAsia" w:ascii="仿宋_GB2312" w:hAnsi="仿宋_GB2312" w:eastAsia="仿宋_GB2312" w:cs="仿宋_GB2312"/>
          <w:sz w:val="30"/>
          <w:szCs w:val="30"/>
          <w:lang w:val="en-US" w:eastAsia="zh-CN"/>
        </w:rPr>
        <w:t>提升服务能力，服务经济社会，努力提高绿色保险的覆盖面，全面提升各类风险的管理能力，使绿色保险这个“盆景”变成“风景”。继续抓产品创新，机构创新，理赔、业务流程、风险管控等方面的创新，从而形成能闭环的可复制、可推广的湖州模式。</w:t>
      </w:r>
      <w:r>
        <w:rPr>
          <w:rFonts w:hint="eastAsia" w:ascii="仿宋_GB2312" w:hAnsi="仿宋_GB2312" w:cs="仿宋_GB2312"/>
          <w:sz w:val="30"/>
          <w:szCs w:val="30"/>
          <w:lang w:val="en-US" w:eastAsia="zh-CN"/>
        </w:rPr>
        <w:t xml:space="preserve">           （综合处、人保财险湖州分公司）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cs="仿宋_GB2312"/>
          <w:sz w:val="30"/>
          <w:szCs w:val="30"/>
          <w:lang w:val="en-US" w:eastAsia="zh-CN"/>
        </w:rPr>
      </w:pPr>
      <w:bookmarkStart w:id="15" w:name="_Toc28758"/>
      <w:r>
        <w:rPr>
          <w:rStyle w:val="16"/>
          <w:rFonts w:hint="default" w:ascii="Times New Roman" w:hAnsi="Times New Roman" w:cs="Times New Roman"/>
        </w:rPr>
        <w:t>●</w:t>
      </w:r>
      <w:r>
        <w:rPr>
          <w:rStyle w:val="16"/>
          <w:rFonts w:hint="default" w:ascii="Times New Roman" w:hAnsi="Times New Roman" w:cs="Times New Roman"/>
          <w:lang w:val="en-US" w:eastAsia="zh-CN"/>
        </w:rPr>
        <w:t>湖州市受邀参加香港绿色金融论坛暨绿金协会成立大会</w:t>
      </w:r>
      <w:bookmarkEnd w:id="15"/>
      <w:r>
        <w:rPr>
          <w:rFonts w:hint="default" w:ascii="Times New Roman" w:hAnsi="Times New Roman" w:cs="Times New Roman"/>
          <w:b/>
          <w:bCs/>
        </w:rPr>
        <w:t>。</w:t>
      </w:r>
      <w:r>
        <w:rPr>
          <w:rFonts w:hint="eastAsia" w:ascii="仿宋_GB2312" w:hAnsi="仿宋_GB2312" w:cs="仿宋_GB2312"/>
          <w:sz w:val="30"/>
          <w:szCs w:val="30"/>
          <w:lang w:val="en-US" w:eastAsia="zh-CN"/>
        </w:rPr>
        <w:t>9月21日，2018香港绿色金融论坛暨香港绿色金融协会成立大会于香港交易所成功举行。活动邀请了300多位来自协会的成员、政府、商界、非营利组织、学术界和媒体的代表出席，共同见证了香港绿色金融协会的成立。湖州市作为八个国家绿色金改试验区唯一代表，受邀参加此次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cs="仿宋_GB2312"/>
          <w:sz w:val="30"/>
          <w:szCs w:val="30"/>
          <w:lang w:val="en-US" w:eastAsia="zh-CN"/>
        </w:rPr>
      </w:pPr>
      <w:r>
        <w:rPr>
          <w:rFonts w:hint="eastAsia" w:ascii="仿宋_GB2312" w:hAnsi="仿宋_GB2312" w:cs="仿宋_GB2312"/>
          <w:sz w:val="30"/>
          <w:szCs w:val="30"/>
          <w:lang w:val="en-US" w:eastAsia="zh-CN"/>
        </w:rPr>
        <w:t>会上，香港、内地的财金官员和数十位与会的金融界精英就“香港绿色金融发展蓝图”、“内地与香港绿色金融合作”、“‘一带一路’绿色投资”、“绿色银行、债券及保险”、“资产管理中的 ESG 整合”等议题开展了专题讨论。我市金融办副主任刘一闻作为湖州市代表出席圆桌论坛，并做交流发言。刘一闻副主任从湖州市绿色金改政策、再贷款货币政策工具、MPA考核机制、绿色企业和项目认定评价方法、绿色融资对接平台等几方面对湖州市绿色金改工作进行了全面介绍，并与与会嘉宾就如何加深内地与香港绿色金融合作进行了深入交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cs="仿宋_GB2312"/>
          <w:sz w:val="30"/>
          <w:szCs w:val="30"/>
          <w:lang w:val="en-US" w:eastAsia="zh-CN"/>
        </w:rPr>
      </w:pPr>
      <w:r>
        <w:rPr>
          <w:rFonts w:hint="eastAsia" w:ascii="仿宋_GB2312" w:hAnsi="仿宋_GB2312" w:cs="仿宋_GB2312"/>
          <w:sz w:val="30"/>
          <w:szCs w:val="30"/>
          <w:lang w:val="en-US" w:eastAsia="zh-CN"/>
        </w:rPr>
        <w:t>此次会议，在宣传湖州市绿色金融品牌，提升湖州在国际绿色金融领域的知名度和影响力的同时，也为湖州推进绿色金改试验区建设提供了新思路新方法。              （金融改革处）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sz w:val="30"/>
          <w:szCs w:val="30"/>
          <w:lang w:eastAsia="zh-CN"/>
        </w:rPr>
      </w:pPr>
      <w:bookmarkStart w:id="16" w:name="_Toc30425"/>
      <w:r>
        <w:rPr>
          <w:rStyle w:val="16"/>
          <w:rFonts w:hint="default" w:ascii="Times New Roman" w:hAnsi="Times New Roman" w:cs="Times New Roman"/>
        </w:rPr>
        <w:t>●安吉县信贷净投放首次突破100亿元</w:t>
      </w:r>
      <w:bookmarkEnd w:id="16"/>
      <w:r>
        <w:rPr>
          <w:rFonts w:hint="default" w:ascii="Times New Roman" w:hAnsi="Times New Roman" w:cs="Times New Roman"/>
          <w:b/>
          <w:bCs/>
        </w:rPr>
        <w:t>。</w:t>
      </w:r>
      <w:r>
        <w:rPr>
          <w:rFonts w:hint="eastAsia" w:ascii="仿宋_GB2312" w:hAnsi="仿宋_GB2312" w:eastAsia="仿宋_GB2312" w:cs="仿宋_GB2312"/>
          <w:sz w:val="30"/>
          <w:szCs w:val="30"/>
        </w:rPr>
        <w:t>1-8月，</w:t>
      </w:r>
      <w:r>
        <w:rPr>
          <w:rFonts w:hint="eastAsia" w:ascii="仿宋_GB2312" w:hAnsi="仿宋_GB2312" w:cs="仿宋_GB2312"/>
          <w:sz w:val="30"/>
          <w:szCs w:val="30"/>
          <w:lang w:eastAsia="zh-CN"/>
        </w:rPr>
        <w:t>安吉</w:t>
      </w:r>
      <w:r>
        <w:rPr>
          <w:rFonts w:hint="eastAsia" w:ascii="仿宋_GB2312" w:hAnsi="仿宋_GB2312" w:eastAsia="仿宋_GB2312" w:cs="仿宋_GB2312"/>
          <w:sz w:val="30"/>
          <w:szCs w:val="30"/>
        </w:rPr>
        <w:t>县本外币各项贷款余额603.2亿元，同比增长25.35%，贷款增量与增幅位列全市第一位，其中贷款增幅高于全市平均增幅5.03个百分点，超过全省贷款平均增幅10.3个百分点，是该县历史上首次贷款增量年内净增100亿元以上，存贷比从年初的93%提高到102%，余额存贷比及新增存贷比均为全市最高。从信贷结构来看，基础设施贷款新增48.2亿元（占比46.7%），其中长龙山电站项目新增5.76亿元，棚户区改造新增41.31亿元；工业贷款新增18.8亿元，一改近年下降局面，首次止跌回升，转椅、竹制品、机械制造等行业均出现正增长，金融支持实体经济的政策举措正在持续发力；农业贷款新增5.8亿元，金融支持乡村振兴效果逐步显现。</w:t>
      </w:r>
      <w:r>
        <w:rPr>
          <w:rFonts w:hint="eastAsia" w:ascii="仿宋_GB2312" w:hAnsi="仿宋_GB2312" w:cs="仿宋_GB2312"/>
          <w:sz w:val="30"/>
          <w:szCs w:val="30"/>
          <w:lang w:val="en-US" w:eastAsia="zh-CN"/>
        </w:rPr>
        <w:t xml:space="preserve">                          </w:t>
      </w:r>
      <w:r>
        <w:rPr>
          <w:rFonts w:hint="eastAsia" w:ascii="仿宋_GB2312" w:hAnsi="仿宋_GB2312" w:cs="仿宋_GB2312"/>
          <w:sz w:val="30"/>
          <w:szCs w:val="30"/>
          <w:lang w:eastAsia="zh-CN"/>
        </w:rPr>
        <w:t>（安吉县金融办）</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600" w:firstLineChars="200"/>
        <w:jc w:val="both"/>
        <w:textAlignment w:val="auto"/>
        <w:rPr>
          <w:rFonts w:hint="default" w:ascii="Times New Roman" w:hAnsi="Times New Roman" w:cs="Times New Roman"/>
          <w:highlight w:val="none"/>
          <w:lang w:eastAsia="zh-CN"/>
        </w:rPr>
      </w:pPr>
    </w:p>
    <w:bookmarkEnd w:id="0"/>
    <w:bookmarkEnd w:id="1"/>
    <w:bookmarkEnd w:id="2"/>
    <w:bookmarkEnd w:id="3"/>
    <w:bookmarkEnd w:id="4"/>
    <w:bookmarkEnd w:id="5"/>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0"/>
        <w:rPr>
          <w:rFonts w:hint="default" w:ascii="Times New Roman" w:hAnsi="Times New Roman" w:cs="Times New Roman"/>
          <w:b w:val="0"/>
        </w:rPr>
      </w:pPr>
      <w:bookmarkStart w:id="17" w:name="_Toc19787"/>
      <w:bookmarkStart w:id="18" w:name="_Toc32509"/>
      <w:bookmarkStart w:id="19" w:name="_Toc19419"/>
      <w:bookmarkStart w:id="20" w:name="_Toc7187"/>
      <w:bookmarkStart w:id="21" w:name="_Toc24904"/>
      <w:bookmarkStart w:id="22" w:name="_Toc32287"/>
      <w:bookmarkStart w:id="23" w:name="_Toc22383"/>
      <w:bookmarkStart w:id="24" w:name="_Toc18092"/>
      <w:bookmarkStart w:id="25" w:name="_Toc966"/>
      <w:bookmarkStart w:id="26" w:name="_Toc27929"/>
      <w:bookmarkStart w:id="27" w:name="_Toc30079"/>
      <w:bookmarkStart w:id="28" w:name="_Toc5605"/>
      <w:r>
        <w:rPr>
          <w:rFonts w:hint="default" w:ascii="Times New Roman" w:hAnsi="Times New Roman" w:cs="Times New Roman"/>
          <w:b w:val="0"/>
        </w:rPr>
        <w:br w:type="page"/>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0"/>
        <w:rPr>
          <w:rFonts w:hint="default" w:ascii="Times New Roman" w:hAnsi="Times New Roman" w:eastAsia="仿宋_GB2312" w:cs="Times New Roman"/>
          <w:sz w:val="30"/>
          <w:szCs w:val="30"/>
          <w:lang w:val="en-US" w:eastAsia="zh-CN"/>
        </w:rPr>
      </w:pPr>
      <w:bookmarkStart w:id="29" w:name="_Toc20469"/>
      <w:r>
        <w:rPr>
          <w:rFonts w:hint="default" w:ascii="Times New Roman" w:hAnsi="Times New Roman" w:cs="Times New Roman"/>
          <w:b w:val="0"/>
        </w:rPr>
        <w:t>【金融发展】</w:t>
      </w:r>
      <w:bookmarkEnd w:id="17"/>
      <w:bookmarkEnd w:id="18"/>
      <w:bookmarkEnd w:id="19"/>
      <w:bookmarkEnd w:id="29"/>
      <w:r>
        <w:rPr>
          <w:rFonts w:hint="default" w:ascii="Times New Roman" w:hAnsi="Times New Roman" w:eastAsia="仿宋_GB2312" w:cs="Times New Roman"/>
          <w:sz w:val="30"/>
          <w:szCs w:val="30"/>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caps w:val="0"/>
          <w:color w:val="000000"/>
          <w:spacing w:val="0"/>
          <w:sz w:val="36"/>
          <w:szCs w:val="36"/>
        </w:rPr>
      </w:pPr>
      <w:bookmarkStart w:id="30" w:name="contentGinfoTitle_column_be4700e6bf0b44a998ab6914f0e0dad8"/>
      <w:bookmarkStart w:id="31" w:name="_Toc10338"/>
      <w:bookmarkStart w:id="32" w:name="_Toc25458"/>
      <w:bookmarkStart w:id="33" w:name="_Toc32026"/>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val="0"/>
          <w:bCs/>
          <w:i w:val="0"/>
          <w:caps w:val="0"/>
          <w:color w:val="000000"/>
          <w:spacing w:val="0"/>
          <w:sz w:val="36"/>
          <w:szCs w:val="36"/>
        </w:rPr>
      </w:pPr>
      <w:bookmarkStart w:id="34" w:name="_Toc29860"/>
      <w:r>
        <w:rPr>
          <w:rFonts w:hint="eastAsia" w:ascii="黑体" w:hAnsi="黑体" w:eastAsia="黑体" w:cs="黑体"/>
          <w:b w:val="0"/>
          <w:bCs/>
          <w:i w:val="0"/>
          <w:caps w:val="0"/>
          <w:color w:val="000000"/>
          <w:spacing w:val="0"/>
          <w:sz w:val="36"/>
          <w:szCs w:val="36"/>
        </w:rPr>
        <w:t>湖州市构建“绿贷通”平台创新银企对接新模式推动金融领域“最多跑一次”改革</w:t>
      </w:r>
      <w:bookmarkEnd w:id="34"/>
    </w:p>
    <w:p>
      <w:pPr>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000000"/>
          <w:spacing w:val="0"/>
          <w:kern w:val="0"/>
          <w:sz w:val="30"/>
          <w:szCs w:val="30"/>
          <w:lang w:val="en-US" w:eastAsia="zh-CN" w:bidi="ar"/>
        </w:rPr>
      </w:pPr>
      <w:r>
        <w:rPr>
          <w:rFonts w:hint="eastAsia" w:ascii="仿宋_GB2312" w:hAnsi="仿宋_GB2312" w:eastAsia="仿宋_GB2312" w:cs="仿宋_GB2312"/>
          <w:i w:val="0"/>
          <w:caps w:val="0"/>
          <w:color w:val="000000"/>
          <w:spacing w:val="0"/>
          <w:kern w:val="0"/>
          <w:sz w:val="30"/>
          <w:szCs w:val="30"/>
          <w:lang w:val="en-US" w:eastAsia="zh-CN" w:bidi="ar"/>
        </w:rPr>
        <w:t>为深入推进国家绿色金融改革创新试验区建设，破解企业向银行贷款过程中信息不对称、资料重复提交、等待审批时间长等问题，</w:t>
      </w:r>
      <w:r>
        <w:rPr>
          <w:rFonts w:hint="eastAsia" w:ascii="仿宋_GB2312" w:hAnsi="仿宋_GB2312" w:cs="仿宋_GB2312"/>
          <w:i w:val="0"/>
          <w:caps w:val="0"/>
          <w:color w:val="000000"/>
          <w:spacing w:val="0"/>
          <w:kern w:val="0"/>
          <w:sz w:val="30"/>
          <w:szCs w:val="30"/>
          <w:lang w:val="en-US" w:eastAsia="zh-CN" w:bidi="ar"/>
        </w:rPr>
        <w:t>市金融办</w:t>
      </w:r>
      <w:r>
        <w:rPr>
          <w:rFonts w:hint="eastAsia" w:ascii="仿宋_GB2312" w:hAnsi="仿宋_GB2312" w:eastAsia="仿宋_GB2312" w:cs="仿宋_GB2312"/>
          <w:i w:val="0"/>
          <w:caps w:val="0"/>
          <w:color w:val="000000"/>
          <w:spacing w:val="0"/>
          <w:kern w:val="0"/>
          <w:sz w:val="30"/>
          <w:szCs w:val="30"/>
          <w:lang w:val="en-US" w:eastAsia="zh-CN" w:bidi="ar"/>
        </w:rPr>
        <w:t>创新构建“绿贷通”平台，出台绿色标准引导金融资源配置绿色化、实体化，实施精准制贷帮助企业第一时间找到合适贷款银行和产品，打造互通平台解决银企跑多次问题，取得初步成效。该平台自今年</w:t>
      </w:r>
      <w:r>
        <w:rPr>
          <w:rFonts w:hint="eastAsia" w:ascii="仿宋_GB2312" w:hAnsi="仿宋_GB2312" w:cs="仿宋_GB2312"/>
          <w:i w:val="0"/>
          <w:caps w:val="0"/>
          <w:color w:val="000000"/>
          <w:spacing w:val="0"/>
          <w:kern w:val="0"/>
          <w:sz w:val="30"/>
          <w:szCs w:val="30"/>
          <w:lang w:val="en-US" w:eastAsia="zh-CN" w:bidi="ar"/>
        </w:rPr>
        <w:t>上线</w:t>
      </w:r>
      <w:r>
        <w:rPr>
          <w:rFonts w:hint="eastAsia" w:ascii="仿宋_GB2312" w:hAnsi="仿宋_GB2312" w:eastAsia="仿宋_GB2312" w:cs="仿宋_GB2312"/>
          <w:i w:val="0"/>
          <w:caps w:val="0"/>
          <w:color w:val="000000"/>
          <w:spacing w:val="0"/>
          <w:kern w:val="0"/>
          <w:sz w:val="30"/>
          <w:szCs w:val="30"/>
          <w:lang w:val="en-US" w:eastAsia="zh-CN" w:bidi="ar"/>
        </w:rPr>
        <w:t>运行以来，全市银行业全部实施企业申贷“1日关注响应、3日主动服务、9日完成评估”，限时响应企业融资申请，累计注册企业达2056家，成功授信1982笔，帮助企业完成融资87.87亿元。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right="0" w:firstLine="420"/>
        <w:jc w:val="left"/>
        <w:textAlignment w:val="auto"/>
        <w:rPr>
          <w:rFonts w:hint="eastAsia" w:ascii="黑体" w:hAnsi="黑体" w:eastAsia="黑体" w:cs="黑体"/>
          <w:b w:val="0"/>
          <w:bCs w:val="0"/>
          <w:i w:val="0"/>
          <w:caps w:val="0"/>
          <w:color w:val="000000"/>
          <w:spacing w:val="0"/>
          <w:kern w:val="0"/>
          <w:sz w:val="30"/>
          <w:szCs w:val="30"/>
          <w:lang w:val="en-US" w:eastAsia="zh-CN" w:bidi="ar"/>
        </w:rPr>
      </w:pPr>
      <w:r>
        <w:rPr>
          <w:rFonts w:hint="eastAsia" w:ascii="黑体" w:hAnsi="黑体" w:eastAsia="黑体" w:cs="黑体"/>
          <w:b w:val="0"/>
          <w:bCs w:val="0"/>
          <w:i w:val="0"/>
          <w:caps w:val="0"/>
          <w:color w:val="000000"/>
          <w:spacing w:val="0"/>
          <w:kern w:val="0"/>
          <w:sz w:val="30"/>
          <w:szCs w:val="30"/>
          <w:lang w:val="en-US" w:eastAsia="zh-CN" w:bidi="ar"/>
        </w:rPr>
        <w:t>一、出台绿色标准，解决银行向谁放贷的问题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000000"/>
          <w:spacing w:val="0"/>
          <w:kern w:val="0"/>
          <w:sz w:val="30"/>
          <w:szCs w:val="30"/>
          <w:lang w:val="en-US" w:eastAsia="zh-CN" w:bidi="ar"/>
        </w:rPr>
      </w:pPr>
      <w:r>
        <w:rPr>
          <w:rFonts w:hint="eastAsia" w:ascii="楷体_GB2312" w:hAnsi="楷体_GB2312" w:eastAsia="楷体_GB2312" w:cs="楷体_GB2312"/>
          <w:b/>
          <w:bCs/>
          <w:i w:val="0"/>
          <w:caps w:val="0"/>
          <w:color w:val="000000"/>
          <w:spacing w:val="0"/>
          <w:kern w:val="0"/>
          <w:sz w:val="30"/>
          <w:szCs w:val="30"/>
          <w:lang w:val="en-US" w:eastAsia="zh-CN" w:bidi="ar"/>
        </w:rPr>
        <w:t>一是制定绿色认定标准。</w:t>
      </w:r>
      <w:r>
        <w:rPr>
          <w:rFonts w:hint="eastAsia" w:ascii="仿宋_GB2312" w:hAnsi="仿宋_GB2312" w:eastAsia="仿宋_GB2312" w:cs="仿宋_GB2312"/>
          <w:i w:val="0"/>
          <w:caps w:val="0"/>
          <w:color w:val="000000"/>
          <w:spacing w:val="0"/>
          <w:kern w:val="0"/>
          <w:sz w:val="30"/>
          <w:szCs w:val="30"/>
          <w:lang w:val="en-US" w:eastAsia="zh-CN" w:bidi="ar"/>
        </w:rPr>
        <w:t>编制发布全国首个绿色融资企业和项目认定评价地方标准，从环境气候影响、社会责任表现等方面建立可量化的评价指标体系，并将“亩产论英雄”分类结果、环保执法监管情况等纳入评价指标体系，对D类、环保违法等企业执行“一票否决”制。企业在线提出认定申请后，由金融机构在线输入评价数据，政府部门根据既定指标进行评价，形成打分卡，根据得分将企业绿色等级分为“深绿、中绿、浅绿、非绿”四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000000"/>
          <w:spacing w:val="0"/>
          <w:kern w:val="0"/>
          <w:sz w:val="30"/>
          <w:szCs w:val="30"/>
          <w:lang w:val="en-US" w:eastAsia="zh-CN" w:bidi="ar"/>
        </w:rPr>
      </w:pPr>
      <w:r>
        <w:rPr>
          <w:rFonts w:hint="eastAsia" w:ascii="楷体_GB2312" w:hAnsi="楷体_GB2312" w:eastAsia="楷体_GB2312" w:cs="楷体_GB2312"/>
          <w:b/>
          <w:bCs/>
          <w:i w:val="0"/>
          <w:caps w:val="0"/>
          <w:color w:val="000000"/>
          <w:spacing w:val="0"/>
          <w:kern w:val="0"/>
          <w:sz w:val="30"/>
          <w:szCs w:val="30"/>
          <w:lang w:val="en-US" w:eastAsia="zh-CN" w:bidi="ar"/>
        </w:rPr>
        <w:t>二是打造绿色评价系统。</w:t>
      </w:r>
      <w:r>
        <w:rPr>
          <w:rFonts w:hint="eastAsia" w:ascii="仿宋_GB2312" w:hAnsi="仿宋_GB2312" w:eastAsia="仿宋_GB2312" w:cs="仿宋_GB2312"/>
          <w:i w:val="0"/>
          <w:caps w:val="0"/>
          <w:color w:val="000000"/>
          <w:spacing w:val="0"/>
          <w:kern w:val="0"/>
          <w:sz w:val="30"/>
          <w:szCs w:val="30"/>
          <w:lang w:val="en-US" w:eastAsia="zh-CN" w:bidi="ar"/>
        </w:rPr>
        <w:t>针对绿色融资企业和项目认定标准涉及的评价指标多、认定依据多、不同评价主体可能得出不同结论、操作和落地存在较大难度的问题，创新开发认定评价信息化系统，目前超过50%的评价指标已集成或实现自动在线抓取，实现标准评价的精准化、自动化和可视化。同时，要求银行在与企业融资对接过程中，密切关注企业环境表现，结合绿色认定评价采取差别化授信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000000"/>
          <w:spacing w:val="0"/>
          <w:kern w:val="0"/>
          <w:sz w:val="30"/>
          <w:szCs w:val="30"/>
          <w:lang w:val="en-US" w:eastAsia="zh-CN" w:bidi="ar"/>
        </w:rPr>
      </w:pPr>
      <w:r>
        <w:rPr>
          <w:rFonts w:hint="eastAsia" w:ascii="楷体_GB2312" w:hAnsi="楷体_GB2312" w:eastAsia="楷体_GB2312" w:cs="楷体_GB2312"/>
          <w:b/>
          <w:bCs/>
          <w:i w:val="0"/>
          <w:caps w:val="0"/>
          <w:color w:val="000000"/>
          <w:spacing w:val="0"/>
          <w:kern w:val="0"/>
          <w:sz w:val="30"/>
          <w:szCs w:val="30"/>
          <w:lang w:val="en-US" w:eastAsia="zh-CN" w:bidi="ar"/>
        </w:rPr>
        <w:t>三是构建绿色激励机制。</w:t>
      </w:r>
      <w:r>
        <w:rPr>
          <w:rFonts w:hint="eastAsia" w:ascii="仿宋_GB2312" w:hAnsi="仿宋_GB2312" w:eastAsia="仿宋_GB2312" w:cs="仿宋_GB2312"/>
          <w:i w:val="0"/>
          <w:caps w:val="0"/>
          <w:color w:val="000000"/>
          <w:spacing w:val="0"/>
          <w:kern w:val="0"/>
          <w:sz w:val="30"/>
          <w:szCs w:val="30"/>
          <w:lang w:val="en-US" w:eastAsia="zh-CN" w:bidi="ar"/>
        </w:rPr>
        <w:t>创新构建差异化的政策激励机制，将绿色认定评价结果与绩效评估、政策激励、监管措施等相结合，引导金融资源更多地配置到绿色产业、绿色企业和绿色项目中。如，对认定评价为深绿、中绿、浅绿的项目，分别给予12%、9%和6%的贴息补助，非绿项目则不予补助。将绿色信贷业绩纳入MPA考核政策，专门切出20%的合意信贷额度定向支持绿色信贷创新。同时，推动银行实行差别化的授信政策，引导企业绿色发展。目前，全市有20多家银行出台了差异化的绿色信贷政策，如市建行在同等条件下，对绿色企业和项目贷款利率最高下浮2个百分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right="0" w:firstLine="420"/>
        <w:jc w:val="left"/>
        <w:textAlignment w:val="auto"/>
        <w:rPr>
          <w:rFonts w:hint="eastAsia" w:ascii="黑体" w:hAnsi="黑体" w:eastAsia="黑体" w:cs="黑体"/>
          <w:b w:val="0"/>
          <w:bCs w:val="0"/>
          <w:i w:val="0"/>
          <w:caps w:val="0"/>
          <w:color w:val="000000"/>
          <w:spacing w:val="0"/>
          <w:kern w:val="0"/>
          <w:sz w:val="30"/>
          <w:szCs w:val="30"/>
          <w:lang w:val="en-US" w:eastAsia="zh-CN" w:bidi="ar"/>
        </w:rPr>
      </w:pPr>
      <w:r>
        <w:rPr>
          <w:rFonts w:hint="eastAsia" w:ascii="黑体" w:hAnsi="黑体" w:eastAsia="黑体" w:cs="黑体"/>
          <w:b w:val="0"/>
          <w:bCs w:val="0"/>
          <w:i w:val="0"/>
          <w:caps w:val="0"/>
          <w:color w:val="000000"/>
          <w:spacing w:val="0"/>
          <w:kern w:val="0"/>
          <w:sz w:val="30"/>
          <w:szCs w:val="30"/>
          <w:lang w:val="en-US" w:eastAsia="zh-CN" w:bidi="ar"/>
        </w:rPr>
        <w:t>二、实施精准制贷，解决企业找谁借贷的问题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000000"/>
          <w:spacing w:val="0"/>
          <w:kern w:val="0"/>
          <w:sz w:val="30"/>
          <w:szCs w:val="30"/>
          <w:lang w:val="en-US" w:eastAsia="zh-CN" w:bidi="ar"/>
        </w:rPr>
      </w:pPr>
      <w:r>
        <w:rPr>
          <w:rFonts w:hint="eastAsia" w:ascii="楷体_GB2312" w:hAnsi="楷体_GB2312" w:eastAsia="楷体_GB2312" w:cs="楷体_GB2312"/>
          <w:b/>
          <w:bCs/>
          <w:i w:val="0"/>
          <w:caps w:val="0"/>
          <w:color w:val="000000"/>
          <w:spacing w:val="0"/>
          <w:kern w:val="0"/>
          <w:sz w:val="30"/>
          <w:szCs w:val="30"/>
          <w:lang w:val="en-US" w:eastAsia="zh-CN" w:bidi="ar"/>
        </w:rPr>
        <w:t>一是打造网上信贷超市。</w:t>
      </w:r>
      <w:r>
        <w:rPr>
          <w:rFonts w:hint="eastAsia" w:ascii="仿宋_GB2312" w:hAnsi="仿宋_GB2312" w:eastAsia="仿宋_GB2312" w:cs="仿宋_GB2312"/>
          <w:i w:val="0"/>
          <w:caps w:val="0"/>
          <w:color w:val="000000"/>
          <w:spacing w:val="0"/>
          <w:kern w:val="0"/>
          <w:sz w:val="30"/>
          <w:szCs w:val="30"/>
          <w:lang w:val="en-US" w:eastAsia="zh-CN" w:bidi="ar"/>
        </w:rPr>
        <w:t>在实际中，企业难以从众多银行机构找到适合自己的银行和产品。</w:t>
      </w:r>
      <w:r>
        <w:rPr>
          <w:rFonts w:hint="eastAsia" w:ascii="仿宋_GB2312" w:hAnsi="仿宋_GB2312" w:cs="仿宋_GB2312"/>
          <w:i w:val="0"/>
          <w:caps w:val="0"/>
          <w:color w:val="000000"/>
          <w:spacing w:val="0"/>
          <w:kern w:val="0"/>
          <w:sz w:val="30"/>
          <w:szCs w:val="30"/>
          <w:lang w:val="en-US" w:eastAsia="zh-CN" w:bidi="ar"/>
        </w:rPr>
        <w:t>市金融办</w:t>
      </w:r>
      <w:r>
        <w:rPr>
          <w:rFonts w:hint="eastAsia" w:ascii="仿宋_GB2312" w:hAnsi="仿宋_GB2312" w:eastAsia="仿宋_GB2312" w:cs="仿宋_GB2312"/>
          <w:i w:val="0"/>
          <w:caps w:val="0"/>
          <w:color w:val="000000"/>
          <w:spacing w:val="0"/>
          <w:kern w:val="0"/>
          <w:sz w:val="30"/>
          <w:szCs w:val="30"/>
          <w:lang w:val="en-US" w:eastAsia="zh-CN" w:bidi="ar"/>
        </w:rPr>
        <w:t>统一搭建“绿贷通”平台，要求各大银行按照“对象、条件、金额、期限、利率”等标准化格式，统一上载信贷产品。目前，平台已梳理35家银行、237款信贷产品，分为“绿色贷、科技贷、小微贷、三农贷、创业贷”等8大类，并根据企业申请使用情况对贷款产品进行智能化排序，最受企业欢迎的、申请量最多的贷款产品作为优先推荐排在首页，申请量极少的产品将取消平台上载权限平台，倒逼银行进一步创新产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000000"/>
          <w:spacing w:val="0"/>
          <w:kern w:val="0"/>
          <w:sz w:val="30"/>
          <w:szCs w:val="30"/>
          <w:lang w:val="en-US" w:eastAsia="zh-CN" w:bidi="ar"/>
        </w:rPr>
      </w:pPr>
      <w:r>
        <w:rPr>
          <w:rFonts w:hint="eastAsia" w:ascii="楷体_GB2312" w:hAnsi="楷体_GB2312" w:eastAsia="楷体_GB2312" w:cs="楷体_GB2312"/>
          <w:b/>
          <w:bCs/>
          <w:i w:val="0"/>
          <w:caps w:val="0"/>
          <w:color w:val="000000"/>
          <w:spacing w:val="0"/>
          <w:kern w:val="0"/>
          <w:sz w:val="30"/>
          <w:szCs w:val="30"/>
          <w:lang w:val="en-US" w:eastAsia="zh-CN" w:bidi="ar"/>
        </w:rPr>
        <w:t>二是推动银行上门送贷。</w:t>
      </w:r>
      <w:r>
        <w:rPr>
          <w:rFonts w:hint="eastAsia" w:ascii="仿宋_GB2312" w:hAnsi="仿宋_GB2312" w:eastAsia="仿宋_GB2312" w:cs="仿宋_GB2312"/>
          <w:i w:val="0"/>
          <w:caps w:val="0"/>
          <w:color w:val="000000"/>
          <w:spacing w:val="0"/>
          <w:kern w:val="0"/>
          <w:sz w:val="30"/>
          <w:szCs w:val="30"/>
          <w:lang w:val="en-US" w:eastAsia="zh-CN" w:bidi="ar"/>
        </w:rPr>
        <w:t>创新建立银行抢单机制，企业发布融资申请后，银行抢单成功后才能调阅企业的融资信用报告。同时，为确保银行的服务质量和效果，平台建立企业监督、部门督导、定期通报、监管考核“四约束”机制，对银企对接进行全流程跟踪监测，一旦发现银行只抢单不服务的，及时督促整改并通报。推动银行转变服务方式，企业少跑银行、银行上门服务，实现金融“最多跑一次”改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000000"/>
          <w:spacing w:val="0"/>
          <w:kern w:val="0"/>
          <w:sz w:val="30"/>
          <w:szCs w:val="30"/>
          <w:lang w:val="en-US" w:eastAsia="zh-CN" w:bidi="ar"/>
        </w:rPr>
      </w:pPr>
      <w:r>
        <w:rPr>
          <w:rFonts w:hint="eastAsia" w:ascii="楷体_GB2312" w:hAnsi="楷体_GB2312" w:eastAsia="楷体_GB2312" w:cs="楷体_GB2312"/>
          <w:b/>
          <w:bCs/>
          <w:i w:val="0"/>
          <w:caps w:val="0"/>
          <w:color w:val="000000"/>
          <w:spacing w:val="0"/>
          <w:kern w:val="0"/>
          <w:sz w:val="30"/>
          <w:szCs w:val="30"/>
          <w:lang w:val="en-US" w:eastAsia="zh-CN" w:bidi="ar"/>
        </w:rPr>
        <w:t>三是监管银行限时办贷。</w:t>
      </w:r>
      <w:r>
        <w:rPr>
          <w:rFonts w:hint="eastAsia" w:ascii="仿宋_GB2312" w:hAnsi="仿宋_GB2312" w:eastAsia="仿宋_GB2312" w:cs="仿宋_GB2312"/>
          <w:i w:val="0"/>
          <w:caps w:val="0"/>
          <w:color w:val="000000"/>
          <w:spacing w:val="0"/>
          <w:kern w:val="0"/>
          <w:sz w:val="30"/>
          <w:szCs w:val="30"/>
          <w:lang w:val="en-US" w:eastAsia="zh-CN" w:bidi="ar"/>
        </w:rPr>
        <w:t>通过实名认证、信息服务、考核奖惩等措施，督促银行按照“139”工作规则，即1个工作日内关注响应、3个工作日内主动服务、9个工作日完成评估，限时响应企业的融资申请。截至目前，在企业发布的</w:t>
      </w:r>
      <w:r>
        <w:rPr>
          <w:rFonts w:hint="eastAsia" w:ascii="仿宋_GB2312" w:hAnsi="仿宋_GB2312" w:cs="仿宋_GB2312"/>
          <w:i w:val="0"/>
          <w:caps w:val="0"/>
          <w:color w:val="000000"/>
          <w:spacing w:val="0"/>
          <w:kern w:val="0"/>
          <w:sz w:val="30"/>
          <w:szCs w:val="30"/>
          <w:lang w:val="en-US" w:eastAsia="zh-CN" w:bidi="ar"/>
        </w:rPr>
        <w:t>2300</w:t>
      </w:r>
      <w:r>
        <w:rPr>
          <w:rFonts w:hint="eastAsia" w:ascii="仿宋_GB2312" w:hAnsi="仿宋_GB2312" w:eastAsia="仿宋_GB2312" w:cs="仿宋_GB2312"/>
          <w:i w:val="0"/>
          <w:caps w:val="0"/>
          <w:color w:val="000000"/>
          <w:spacing w:val="0"/>
          <w:kern w:val="0"/>
          <w:sz w:val="30"/>
          <w:szCs w:val="30"/>
          <w:lang w:val="en-US" w:eastAsia="zh-CN" w:bidi="ar"/>
        </w:rPr>
        <w:t>笔需求中，银行全部实现了1个工作日内关注，主动服务平均时限为2个工作日，完成评估时限平均为4个工作日。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right="0" w:firstLine="420"/>
        <w:jc w:val="left"/>
        <w:textAlignment w:val="auto"/>
        <w:rPr>
          <w:rFonts w:hint="eastAsia" w:ascii="黑体" w:hAnsi="黑体" w:eastAsia="黑体" w:cs="黑体"/>
          <w:b w:val="0"/>
          <w:bCs w:val="0"/>
          <w:i w:val="0"/>
          <w:caps w:val="0"/>
          <w:color w:val="000000"/>
          <w:spacing w:val="0"/>
          <w:kern w:val="0"/>
          <w:sz w:val="30"/>
          <w:szCs w:val="30"/>
          <w:lang w:val="en-US" w:eastAsia="zh-CN" w:bidi="ar"/>
        </w:rPr>
      </w:pPr>
      <w:r>
        <w:rPr>
          <w:rFonts w:hint="eastAsia" w:ascii="黑体" w:hAnsi="黑体" w:eastAsia="黑体" w:cs="黑体"/>
          <w:b w:val="0"/>
          <w:bCs w:val="0"/>
          <w:i w:val="0"/>
          <w:caps w:val="0"/>
          <w:color w:val="000000"/>
          <w:spacing w:val="0"/>
          <w:kern w:val="0"/>
          <w:sz w:val="30"/>
          <w:szCs w:val="30"/>
          <w:lang w:val="en-US" w:eastAsia="zh-CN" w:bidi="ar"/>
        </w:rPr>
        <w:t>三、打造互通平台，解决银企对接跑多次的问题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000000"/>
          <w:spacing w:val="0"/>
          <w:kern w:val="0"/>
          <w:sz w:val="30"/>
          <w:szCs w:val="30"/>
          <w:lang w:val="en-US" w:eastAsia="zh-CN" w:bidi="ar"/>
        </w:rPr>
      </w:pPr>
      <w:r>
        <w:rPr>
          <w:rFonts w:hint="eastAsia" w:ascii="楷体_GB2312" w:hAnsi="楷体_GB2312" w:eastAsia="楷体_GB2312" w:cs="楷体_GB2312"/>
          <w:b/>
          <w:bCs/>
          <w:i w:val="0"/>
          <w:caps w:val="0"/>
          <w:color w:val="000000"/>
          <w:spacing w:val="0"/>
          <w:kern w:val="0"/>
          <w:sz w:val="30"/>
          <w:szCs w:val="30"/>
          <w:lang w:val="en-US" w:eastAsia="zh-CN" w:bidi="ar"/>
        </w:rPr>
        <w:t>一是银企对接直通。</w:t>
      </w:r>
      <w:r>
        <w:rPr>
          <w:rFonts w:hint="eastAsia" w:ascii="仿宋_GB2312" w:hAnsi="仿宋_GB2312" w:eastAsia="仿宋_GB2312" w:cs="仿宋_GB2312"/>
          <w:i w:val="0"/>
          <w:caps w:val="0"/>
          <w:color w:val="000000"/>
          <w:spacing w:val="0"/>
          <w:kern w:val="0"/>
          <w:sz w:val="30"/>
          <w:szCs w:val="30"/>
          <w:lang w:val="en-US" w:eastAsia="zh-CN" w:bidi="ar"/>
        </w:rPr>
        <w:t>借助互联网、大数据等技术，将银企对接“搬到”网上。企业经实名认证后，只需通过“绿贷通”平台，“一站式”向特定银行或面向全市所有银行发布融资申请，标明融资金额、利率、期限以及可提供的增信方式，银行接单抢单、主动服务，实现了融资需求与信贷供给精准、高效对接。截至</w:t>
      </w:r>
      <w:r>
        <w:rPr>
          <w:rFonts w:hint="eastAsia" w:ascii="仿宋_GB2312" w:hAnsi="仿宋_GB2312" w:cs="仿宋_GB2312"/>
          <w:i w:val="0"/>
          <w:caps w:val="0"/>
          <w:color w:val="000000"/>
          <w:spacing w:val="0"/>
          <w:kern w:val="0"/>
          <w:sz w:val="30"/>
          <w:szCs w:val="30"/>
          <w:lang w:val="en-US" w:eastAsia="zh-CN" w:bidi="ar"/>
        </w:rPr>
        <w:t>9月底</w:t>
      </w:r>
      <w:r>
        <w:rPr>
          <w:rFonts w:hint="eastAsia" w:ascii="仿宋_GB2312" w:hAnsi="仿宋_GB2312" w:eastAsia="仿宋_GB2312" w:cs="仿宋_GB2312"/>
          <w:i w:val="0"/>
          <w:caps w:val="0"/>
          <w:color w:val="000000"/>
          <w:spacing w:val="0"/>
          <w:kern w:val="0"/>
          <w:sz w:val="30"/>
          <w:szCs w:val="30"/>
          <w:lang w:val="en-US" w:eastAsia="zh-CN" w:bidi="ar"/>
        </w:rPr>
        <w:t>，“绿贷通”平台已累计帮助1896家企业发布融资需求2138笔，1798家企业、1982笔需求成功与银行对接。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000000"/>
          <w:spacing w:val="0"/>
          <w:kern w:val="0"/>
          <w:sz w:val="30"/>
          <w:szCs w:val="30"/>
          <w:lang w:val="en-US" w:eastAsia="zh-CN" w:bidi="ar"/>
        </w:rPr>
      </w:pPr>
      <w:r>
        <w:rPr>
          <w:rFonts w:hint="eastAsia" w:ascii="楷体_GB2312" w:hAnsi="楷体_GB2312" w:eastAsia="楷体_GB2312" w:cs="楷体_GB2312"/>
          <w:b/>
          <w:bCs/>
          <w:i w:val="0"/>
          <w:caps w:val="0"/>
          <w:color w:val="000000"/>
          <w:spacing w:val="0"/>
          <w:kern w:val="0"/>
          <w:sz w:val="30"/>
          <w:szCs w:val="30"/>
          <w:lang w:val="en-US" w:eastAsia="zh-CN" w:bidi="ar"/>
        </w:rPr>
        <w:t>二是政企服务连通。</w:t>
      </w:r>
      <w:r>
        <w:rPr>
          <w:rFonts w:hint="eastAsia" w:ascii="仿宋_GB2312" w:hAnsi="仿宋_GB2312" w:eastAsia="仿宋_GB2312" w:cs="仿宋_GB2312"/>
          <w:i w:val="0"/>
          <w:caps w:val="0"/>
          <w:color w:val="000000"/>
          <w:spacing w:val="0"/>
          <w:kern w:val="0"/>
          <w:sz w:val="30"/>
          <w:szCs w:val="30"/>
          <w:lang w:val="en-US" w:eastAsia="zh-CN" w:bidi="ar"/>
        </w:rPr>
        <w:t>按照以往模式，企业向银行申请贷款时，必须事先提供不动产、用水用电、交税纳税等各类资料和证明，需要跑多个部门。“绿贷通”平台通过对接省、市大数据库，利用互联网技术自动获取企业所需数据，实现部门数据联通，避免企业多方跑腿。目前“绿贷通”平台已共享司法诉讼、环保监察、工商登记、税收征缴、公积金等10多个领域信息，下一步计划将不动产登记、用水用气、进出口贸易等数据的纳入，初步实现了企业融资信息共享与整合，形成企业融资信用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000000"/>
          <w:spacing w:val="0"/>
          <w:kern w:val="0"/>
          <w:sz w:val="30"/>
          <w:szCs w:val="30"/>
          <w:lang w:val="en-US" w:eastAsia="zh-CN" w:bidi="ar"/>
        </w:rPr>
      </w:pPr>
      <w:r>
        <w:rPr>
          <w:rFonts w:hint="eastAsia" w:ascii="楷体_GB2312" w:hAnsi="楷体_GB2312" w:eastAsia="楷体_GB2312" w:cs="楷体_GB2312"/>
          <w:b/>
          <w:bCs/>
          <w:i w:val="0"/>
          <w:caps w:val="0"/>
          <w:color w:val="000000"/>
          <w:spacing w:val="0"/>
          <w:kern w:val="0"/>
          <w:sz w:val="30"/>
          <w:szCs w:val="30"/>
          <w:lang w:val="en-US" w:eastAsia="zh-CN" w:bidi="ar"/>
        </w:rPr>
        <w:t>三是政银信息共通。</w:t>
      </w:r>
      <w:r>
        <w:rPr>
          <w:rFonts w:hint="eastAsia" w:ascii="仿宋_GB2312" w:hAnsi="仿宋_GB2312" w:eastAsia="仿宋_GB2312" w:cs="仿宋_GB2312"/>
          <w:i w:val="0"/>
          <w:caps w:val="0"/>
          <w:color w:val="000000"/>
          <w:spacing w:val="0"/>
          <w:kern w:val="0"/>
          <w:sz w:val="30"/>
          <w:szCs w:val="30"/>
          <w:lang w:val="en-US" w:eastAsia="zh-CN" w:bidi="ar"/>
        </w:rPr>
        <w:t>鉴于绿贷通平台政府信息共享机制和信息安全制度，银行可充分借助平台形成并共享的融资信用报告，在较短时间内更全面掌握企业的情况，无需再跑多个方面核对信息、核查情况，减少银行的人力财力支出，也为企业申贷压缩时间。该平台数据完成全面整合后，</w:t>
      </w:r>
      <w:r>
        <w:rPr>
          <w:rFonts w:hint="eastAsia" w:ascii="仿宋_GB2312" w:hAnsi="仿宋_GB2312" w:cs="仿宋_GB2312"/>
          <w:i w:val="0"/>
          <w:caps w:val="0"/>
          <w:color w:val="000000"/>
          <w:spacing w:val="0"/>
          <w:kern w:val="0"/>
          <w:sz w:val="30"/>
          <w:szCs w:val="30"/>
          <w:lang w:val="en-US" w:eastAsia="zh-CN" w:bidi="ar"/>
        </w:rPr>
        <w:t>银行</w:t>
      </w:r>
      <w:r>
        <w:rPr>
          <w:rFonts w:hint="eastAsia" w:ascii="仿宋_GB2312" w:hAnsi="仿宋_GB2312" w:eastAsia="仿宋_GB2312" w:cs="仿宋_GB2312"/>
          <w:i w:val="0"/>
          <w:caps w:val="0"/>
          <w:color w:val="000000"/>
          <w:spacing w:val="0"/>
          <w:kern w:val="0"/>
          <w:sz w:val="30"/>
          <w:szCs w:val="30"/>
          <w:lang w:val="en-US" w:eastAsia="zh-CN" w:bidi="ar"/>
        </w:rPr>
        <w:t>授信调查时效可提高30%以上。政府根据“绿贷通”平台汇集的企业贷款情况，也可及时掌握面上企业运行情况，及早预防和化解金融风险。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right="0" w:firstLine="6300" w:firstLineChars="2100"/>
        <w:jc w:val="left"/>
        <w:textAlignment w:val="auto"/>
        <w:rPr>
          <w:rFonts w:hint="eastAsia" w:ascii="仿宋_GB2312" w:hAnsi="仿宋_GB2312" w:eastAsia="仿宋_GB2312" w:cs="仿宋_GB2312"/>
          <w:i w:val="0"/>
          <w:caps w:val="0"/>
          <w:color w:val="000000"/>
          <w:spacing w:val="0"/>
          <w:sz w:val="30"/>
          <w:szCs w:val="30"/>
        </w:rPr>
      </w:pPr>
      <w:r>
        <w:rPr>
          <w:rFonts w:hint="eastAsia" w:ascii="仿宋_GB2312" w:hAnsi="仿宋_GB2312" w:cs="仿宋_GB2312"/>
          <w:i w:val="0"/>
          <w:caps w:val="0"/>
          <w:color w:val="000000"/>
          <w:spacing w:val="0"/>
          <w:kern w:val="0"/>
          <w:sz w:val="30"/>
          <w:szCs w:val="30"/>
          <w:lang w:val="en-US" w:eastAsia="zh-CN" w:bidi="ar"/>
        </w:rPr>
        <w:t>（金融改革处）</w:t>
      </w:r>
    </w:p>
    <w:bookmarkEnd w:id="30"/>
    <w:bookmarkEnd w:id="31"/>
    <w:bookmarkEnd w:id="32"/>
    <w:bookmarkEnd w:id="33"/>
    <w:p>
      <w:pPr>
        <w:keepNext w:val="0"/>
        <w:keepLines w:val="0"/>
        <w:pageBreakBefore w:val="0"/>
        <w:kinsoku/>
        <w:wordWrap/>
        <w:overflowPunct/>
        <w:topLinePunct w:val="0"/>
        <w:autoSpaceDE w:val="0"/>
        <w:autoSpaceDN/>
        <w:bidi w:val="0"/>
        <w:adjustRightInd/>
        <w:snapToGrid/>
        <w:spacing w:beforeAutospacing="0" w:afterAutospacing="0" w:line="560" w:lineRule="exact"/>
        <w:ind w:right="0" w:rightChars="0" w:firstLine="0" w:firstLineChars="0"/>
        <w:jc w:val="both"/>
        <w:textAlignment w:val="auto"/>
        <w:rPr>
          <w:rStyle w:val="16"/>
          <w:rFonts w:hint="eastAsia" w:ascii="黑体" w:hAnsi="黑体" w:eastAsia="黑体" w:cs="黑体"/>
          <w:sz w:val="36"/>
          <w:szCs w:val="36"/>
          <w:highlight w:val="none"/>
        </w:rPr>
      </w:pPr>
    </w:p>
    <w:p>
      <w:pPr>
        <w:keepNext w:val="0"/>
        <w:keepLines w:val="0"/>
        <w:pageBreakBefore w:val="0"/>
        <w:kinsoku/>
        <w:wordWrap/>
        <w:overflowPunct/>
        <w:topLinePunct w:val="0"/>
        <w:autoSpaceDE w:val="0"/>
        <w:autoSpaceDN/>
        <w:bidi w:val="0"/>
        <w:adjustRightInd/>
        <w:snapToGrid/>
        <w:spacing w:beforeAutospacing="0" w:afterAutospacing="0" w:line="560" w:lineRule="exact"/>
        <w:ind w:right="0" w:rightChars="0" w:firstLine="0" w:firstLineChars="0"/>
        <w:jc w:val="center"/>
        <w:textAlignment w:val="auto"/>
        <w:rPr>
          <w:rStyle w:val="16"/>
          <w:rFonts w:hint="eastAsia" w:ascii="黑体" w:hAnsi="黑体" w:eastAsia="黑体" w:cs="黑体"/>
          <w:sz w:val="36"/>
          <w:szCs w:val="36"/>
          <w:highlight w:val="none"/>
        </w:rPr>
      </w:pPr>
      <w:bookmarkStart w:id="35" w:name="_Toc21698"/>
      <w:r>
        <w:rPr>
          <w:rStyle w:val="16"/>
          <w:rFonts w:hint="eastAsia" w:ascii="黑体" w:hAnsi="黑体" w:eastAsia="黑体" w:cs="黑体"/>
          <w:sz w:val="36"/>
          <w:szCs w:val="36"/>
          <w:highlight w:val="none"/>
        </w:rPr>
        <w:t>南浔区以金融活水助力乡村振兴</w:t>
      </w:r>
    </w:p>
    <w:bookmarkEnd w:id="35"/>
    <w:p>
      <w:pPr>
        <w:keepNext w:val="0"/>
        <w:keepLines w:val="0"/>
        <w:pageBreakBefore w:val="0"/>
        <w:kinsoku/>
        <w:wordWrap/>
        <w:overflowPunct/>
        <w:topLinePunct w:val="0"/>
        <w:autoSpaceDN/>
        <w:bidi w:val="0"/>
        <w:adjustRightInd/>
        <w:snapToGrid/>
        <w:spacing w:line="560" w:lineRule="exact"/>
        <w:textAlignment w:val="auto"/>
        <w:rPr>
          <w:rFonts w:hint="eastAsia"/>
        </w:rPr>
      </w:pPr>
      <w:r>
        <w:rPr>
          <w:rFonts w:hint="eastAsia"/>
          <w:lang w:eastAsia="zh-CN"/>
        </w:rPr>
        <w:t>今年以来，</w:t>
      </w:r>
      <w:r>
        <w:rPr>
          <w:rFonts w:hint="eastAsia"/>
        </w:rPr>
        <w:t>南浔区紧紧围绕“聚力大赶超、实现新跨越”，以服务农村实体经济为方向，进一步提升农村金融服务水平，将金融资源高效注入乡村振兴战略，走出了一条助力普惠金融、服务“三农”的乡村振兴之路。</w:t>
      </w:r>
    </w:p>
    <w:p>
      <w:pPr>
        <w:keepNext w:val="0"/>
        <w:keepLines w:val="0"/>
        <w:pageBreakBefore w:val="0"/>
        <w:kinsoku/>
        <w:wordWrap/>
        <w:overflowPunct/>
        <w:topLinePunct w:val="0"/>
        <w:autoSpaceDN/>
        <w:bidi w:val="0"/>
        <w:adjustRightInd/>
        <w:snapToGrid/>
        <w:spacing w:line="560" w:lineRule="exact"/>
        <w:textAlignment w:val="auto"/>
        <w:rPr>
          <w:rFonts w:hint="eastAsia" w:ascii="仿宋_GB2312" w:hAnsi="仿宋_GB2312" w:eastAsia="仿宋_GB2312" w:cs="仿宋_GB2312"/>
        </w:rPr>
      </w:pPr>
      <w:r>
        <w:rPr>
          <w:rFonts w:hint="eastAsia" w:ascii="楷体_GB2312" w:hAnsi="楷体_GB2312" w:eastAsia="楷体_GB2312" w:cs="楷体_GB2312"/>
          <w:b/>
          <w:bCs/>
        </w:rPr>
        <w:t>一是打造农户小康工程，以普惠筑基础。</w:t>
      </w:r>
      <w:r>
        <w:rPr>
          <w:rFonts w:hint="eastAsia" w:ascii="仿宋_GB2312" w:hAnsi="仿宋_GB2312" w:eastAsia="仿宋_GB2312" w:cs="仿宋_GB2312"/>
        </w:rPr>
        <w:t>加强金融基础设施建设，鼓励和引导银行业金融机构来浔设立小微专营支行或社区银行，提高金融服务覆盖率，大力推动普惠金融,提升金融服务“三农”效能。截止8月底，全区17家银行机构普惠金融贷款达106.6亿元。以南浔银行为例，今年启动网格化管理“深化年”活动，与各支行签署客户数据质量承诺书，分批开展网格验收，进一步做细网格数据、做实客户基础、做深农村市场。到8月末全行普惠建档19.3万户，其中40%已完成授信，以“两创”为导向实际发放个人贷款2.91万户，个贷客户覆盖率达20.34%，相当于平均每5户南浔家庭，就有一户是该行信贷客户。</w:t>
      </w:r>
    </w:p>
    <w:p>
      <w:pPr>
        <w:keepNext w:val="0"/>
        <w:keepLines w:val="0"/>
        <w:pageBreakBefore w:val="0"/>
        <w:kinsoku/>
        <w:wordWrap/>
        <w:overflowPunct/>
        <w:topLinePunct w:val="0"/>
        <w:autoSpaceDN/>
        <w:bidi w:val="0"/>
        <w:adjustRightInd/>
        <w:snapToGrid/>
        <w:spacing w:line="560" w:lineRule="exact"/>
        <w:textAlignment w:val="auto"/>
        <w:rPr>
          <w:rFonts w:hint="eastAsia" w:ascii="仿宋_GB2312" w:hAnsi="仿宋_GB2312" w:eastAsia="仿宋_GB2312" w:cs="仿宋_GB2312"/>
        </w:rPr>
      </w:pPr>
      <w:r>
        <w:rPr>
          <w:rFonts w:hint="eastAsia" w:ascii="楷体_GB2312" w:hAnsi="楷体_GB2312" w:eastAsia="楷体_GB2312" w:cs="楷体_GB2312"/>
          <w:b/>
          <w:bCs/>
        </w:rPr>
        <w:t>二是打造小微提质工程，以帮扶促转型。</w:t>
      </w:r>
      <w:r>
        <w:rPr>
          <w:rFonts w:hint="eastAsia" w:ascii="仿宋_GB2312" w:hAnsi="仿宋_GB2312" w:eastAsia="仿宋_GB2312" w:cs="仿宋_GB2312"/>
        </w:rPr>
        <w:t>在南浔区“五水共治”、“三改一拆”和新农村小城镇环境综合整治等工作开展过程中，持续开展“百名行长进千企”活动，组织银行行长主动走访小微企业，对接融资需求，提供“保姆式”服务，建立了支持环保型、科技型、成长型小微企业增资扩能、技改提升的帮扶导向，助力“双千”目标实现。截止8月底，累计走访小微企业6851户，小微企业贷款余额达184.09亿元，比年初新增19.58亿元，增速达到24.4%，高于全部贷款增速4.96个百分点；制造业贷款余额148.69亿元，比年初新增7.1亿元，增速达到20.46%，高于全部贷款增速1.02个百分点。</w:t>
      </w:r>
    </w:p>
    <w:p>
      <w:pPr>
        <w:keepNext w:val="0"/>
        <w:keepLines w:val="0"/>
        <w:pageBreakBefore w:val="0"/>
        <w:kinsoku/>
        <w:wordWrap/>
        <w:overflowPunct/>
        <w:topLinePunct w:val="0"/>
        <w:autoSpaceDN/>
        <w:bidi w:val="0"/>
        <w:adjustRightInd/>
        <w:snapToGrid/>
        <w:spacing w:line="560" w:lineRule="exact"/>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b/>
          <w:bCs/>
        </w:rPr>
        <w:t>三是打造特色融合工程，以创新助发展。</w:t>
      </w:r>
      <w:r>
        <w:rPr>
          <w:rFonts w:hint="eastAsia" w:ascii="仿宋_GB2312" w:hAnsi="仿宋_GB2312" w:eastAsia="仿宋_GB2312" w:cs="仿宋_GB2312"/>
        </w:rPr>
        <w:t>深入研究“三农”新主体新要素新业态的金融需求，实施《全面实施金融服务乡村振兴战略五年行动计划（2018-2022）》，大力推广“幸福家园”系列新型农业经营主体贷款、“粮农贷”担保基金贷款、流转土地承包经营权抵押贷款等产品，同时针对南浔区重点培育的跑道鱼、美人柑精品农业项目推出“两美”农合贷，到8月末累计发放涉农贷款达112.8亿元；同时，推出“绿贷通”、“诚信通”、“税银贷”等小企业信用贷款以及“科贷通”专利权质押贷款、“商标贷”商标权质押贷款、“环保贷”排污权抵押贷款等产品，到8月末，“绿贷通”平台已有247家企业发布融资信息，236家企业获得授信，完成融资7.91亿元，通过创新有效破解了融资难问题。</w:t>
      </w:r>
      <w:r>
        <w:rPr>
          <w:rFonts w:hint="eastAsia" w:ascii="仿宋_GB2312" w:hAnsi="仿宋_GB2312" w:eastAsia="仿宋_GB2312" w:cs="仿宋_GB2312"/>
          <w:lang w:val="en-US" w:eastAsia="zh-CN"/>
        </w:rPr>
        <w:t xml:space="preserve">                              （南浔区金融办）</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仿宋_GB2312" w:hAnsi="仿宋_GB2312" w:eastAsia="仿宋_GB2312" w:cs="仿宋_GB2312"/>
          <w:sz w:val="30"/>
          <w:szCs w:val="30"/>
          <w:lang w:eastAsia="zh-CN"/>
        </w:rPr>
      </w:pPr>
      <w:r>
        <w:rPr>
          <w:rStyle w:val="16"/>
          <w:rFonts w:hint="eastAsia" w:ascii="黑体" w:hAnsi="仿宋_GB2312" w:eastAsia="黑体" w:cs="仿宋_GB2312"/>
          <w:sz w:val="36"/>
          <w:szCs w:val="36"/>
          <w:lang w:val="en-US" w:eastAsia="zh-CN"/>
        </w:rPr>
        <w:t xml:space="preserve">   </w:t>
      </w:r>
      <w:bookmarkStart w:id="36" w:name="_Toc28505"/>
      <w:r>
        <w:rPr>
          <w:rStyle w:val="16"/>
          <w:rFonts w:hint="eastAsia" w:ascii="黑体" w:hAnsi="仿宋_GB2312" w:eastAsia="黑体" w:cs="仿宋_GB2312"/>
          <w:sz w:val="32"/>
          <w:szCs w:val="32"/>
          <w:lang w:eastAsia="zh-CN"/>
        </w:rPr>
        <w:t>吴兴区三线并推防范和化解企业债务风险</w:t>
      </w:r>
      <w:bookmarkEnd w:id="36"/>
      <w:bookmarkStart w:id="37" w:name="contentGinfoContent_column_be4700e6bf0b44a998ab6914f0e0dad8"/>
      <w:r>
        <w:rPr>
          <w:rFonts w:hint="eastAsia" w:ascii="仿宋_GB2312" w:hAnsi="仿宋_GB2312" w:cs="仿宋_GB2312"/>
          <w:b/>
          <w:bCs/>
          <w:sz w:val="28"/>
          <w:szCs w:val="28"/>
          <w:lang w:eastAsia="zh-CN"/>
        </w:rPr>
        <w:t>。</w:t>
      </w:r>
      <w:r>
        <w:rPr>
          <w:rFonts w:hint="eastAsia" w:ascii="仿宋_GB2312" w:hAnsi="仿宋_GB2312" w:eastAsia="仿宋_GB2312" w:cs="仿宋_GB2312"/>
          <w:b/>
          <w:bCs/>
          <w:sz w:val="30"/>
          <w:szCs w:val="30"/>
          <w:lang w:eastAsia="zh-CN"/>
        </w:rPr>
        <w:t>一是以破化冻。</w:t>
      </w:r>
      <w:r>
        <w:rPr>
          <w:rFonts w:hint="eastAsia" w:ascii="仿宋_GB2312" w:hAnsi="仿宋_GB2312" w:eastAsia="仿宋_GB2312" w:cs="仿宋_GB2312"/>
          <w:sz w:val="30"/>
          <w:szCs w:val="30"/>
          <w:lang w:eastAsia="zh-CN"/>
        </w:rPr>
        <w:t>进一步加大府院联动力度，深化“僵尸企业”及“两链”风险企业化解专项行动工作。加大力度推进新纺破产案件，强化与破产管理人对接，对完成评估项目尽早进入拍卖，加快排除腾房未尽、违章建筑拆除等制约因素，联动乡镇、法院、公安等职能部门，加快推进企业破产重组进程，加快资源盘活。</w:t>
      </w:r>
      <w:r>
        <w:rPr>
          <w:rFonts w:hint="eastAsia" w:ascii="仿宋_GB2312" w:hAnsi="仿宋_GB2312" w:eastAsia="仿宋_GB2312" w:cs="仿宋_GB2312"/>
          <w:b/>
          <w:bCs/>
          <w:sz w:val="30"/>
          <w:szCs w:val="30"/>
          <w:lang w:eastAsia="zh-CN"/>
        </w:rPr>
        <w:t>二是以控防险。</w:t>
      </w:r>
      <w:r>
        <w:rPr>
          <w:rFonts w:hint="eastAsia" w:ascii="仿宋_GB2312" w:hAnsi="仿宋_GB2312" w:eastAsia="仿宋_GB2312" w:cs="仿宋_GB2312"/>
          <w:sz w:val="30"/>
          <w:szCs w:val="30"/>
          <w:lang w:eastAsia="zh-CN"/>
        </w:rPr>
        <w:t>对银行逾期贷款、涉及担保代偿风险、存在债券兑付风险达1亿元以上的企业进行排摸，针对汇德系和大港2家有一定风险方然企业，通过上门调研了解融资情况和发展规划，并与银行贷款情况对比，整体风险可控。前期已对其专门召开银行机构贷款协调会，提出协调方案并出具会议纪要，防止“两链”风险蔓延。</w:t>
      </w:r>
      <w:r>
        <w:rPr>
          <w:rFonts w:hint="eastAsia" w:ascii="仿宋_GB2312" w:hAnsi="仿宋_GB2312" w:eastAsia="仿宋_GB2312" w:cs="仿宋_GB2312"/>
          <w:b/>
          <w:bCs/>
          <w:sz w:val="30"/>
          <w:szCs w:val="30"/>
          <w:lang w:eastAsia="zh-CN"/>
        </w:rPr>
        <w:t>三是以扶解难。</w:t>
      </w:r>
      <w:r>
        <w:rPr>
          <w:rFonts w:hint="eastAsia" w:ascii="仿宋_GB2312" w:hAnsi="仿宋_GB2312" w:eastAsia="仿宋_GB2312" w:cs="仿宋_GB2312"/>
          <w:sz w:val="30"/>
          <w:szCs w:val="30"/>
          <w:lang w:eastAsia="zh-CN"/>
        </w:rPr>
        <w:t>通过“问难帮困稳增长”和“扭亏帮扶”专项行动，实地走访10家企业，通过举办“绿贷通”和“投贷联动”等平台的培训会，缩短企业和银行间的距离，以“最多跑一次”的理念为企业提供融资服务。截至9月底，投贷联动试点工作取得初步成效，已排摸38家企业融资需求，批量化对接市金融办、市产投及湖州银行，并获支持。全区18家银行已对接企业415家，企业成功获得银行授信276家、10.21亿元。</w:t>
      </w:r>
      <w:bookmarkEnd w:id="37"/>
    </w:p>
    <w:p>
      <w:pPr>
        <w:keepNext w:val="0"/>
        <w:keepLines w:val="0"/>
        <w:pageBreakBefore w:val="0"/>
        <w:widowControl w:val="0"/>
        <w:kinsoku/>
        <w:wordWrap/>
        <w:overflowPunct/>
        <w:topLinePunct w:val="0"/>
        <w:autoSpaceDE/>
        <w:autoSpaceDN/>
        <w:bidi w:val="0"/>
        <w:adjustRightInd/>
        <w:snapToGrid/>
        <w:spacing w:line="560" w:lineRule="exact"/>
        <w:ind w:firstLine="6000" w:firstLineChars="20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bookmarkStart w:id="38" w:name="contentGinfoOrgName_column_be4700e6bf0b44a998ab6914f0e0dad8"/>
      <w:r>
        <w:rPr>
          <w:rFonts w:hint="eastAsia" w:ascii="仿宋_GB2312" w:hAnsi="仿宋_GB2312" w:cs="仿宋_GB2312"/>
          <w:sz w:val="30"/>
          <w:szCs w:val="30"/>
          <w:lang w:eastAsia="zh-CN"/>
        </w:rPr>
        <w:t>吴兴区</w:t>
      </w:r>
      <w:r>
        <w:rPr>
          <w:rFonts w:hint="eastAsia" w:ascii="仿宋_GB2312" w:hAnsi="仿宋_GB2312" w:eastAsia="仿宋_GB2312" w:cs="仿宋_GB2312"/>
          <w:sz w:val="30"/>
          <w:szCs w:val="30"/>
          <w:lang w:eastAsia="zh-CN"/>
        </w:rPr>
        <w:t>金融办</w:t>
      </w:r>
      <w:bookmarkEnd w:id="38"/>
      <w:r>
        <w:rPr>
          <w:rFonts w:hint="eastAsia" w:ascii="仿宋_GB2312" w:hAnsi="仿宋_GB2312" w:eastAsia="仿宋_GB2312" w:cs="仿宋_GB2312"/>
          <w:sz w:val="30"/>
          <w:szCs w:val="30"/>
        </w:rPr>
        <w:t>）</w:t>
      </w:r>
    </w:p>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cs="Times New Roman"/>
          <w:b w:val="0"/>
        </w:rPr>
      </w:pPr>
      <w:r>
        <w:rPr>
          <w:rFonts w:hint="default" w:ascii="Times New Roman" w:hAnsi="Times New Roman" w:cs="Times New Roman"/>
          <w:b w:val="0"/>
        </w:rPr>
        <w:br w:type="page"/>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szCs w:val="30"/>
          <w:lang w:val="en-US" w:eastAsia="zh-CN"/>
        </w:rPr>
      </w:pPr>
      <w:bookmarkStart w:id="39" w:name="_Toc15988"/>
      <w:r>
        <w:rPr>
          <w:rStyle w:val="17"/>
          <w:rFonts w:hint="default"/>
        </w:rPr>
        <w:t>【金融机构】</w:t>
      </w:r>
      <w:bookmarkEnd w:id="20"/>
      <w:bookmarkEnd w:id="21"/>
      <w:bookmarkEnd w:id="22"/>
      <w:bookmarkEnd w:id="23"/>
      <w:bookmarkEnd w:id="24"/>
      <w:bookmarkEnd w:id="25"/>
      <w:bookmarkEnd w:id="26"/>
      <w:bookmarkEnd w:id="27"/>
      <w:bookmarkEnd w:id="28"/>
      <w:bookmarkEnd w:id="39"/>
      <w:bookmarkStart w:id="40" w:name="_Toc2942"/>
      <w:bookmarkStart w:id="41" w:name="_Toc17742"/>
      <w:bookmarkStart w:id="42" w:name="_Toc30648"/>
      <w:bookmarkStart w:id="43" w:name="_Toc5021"/>
      <w:bookmarkStart w:id="44" w:name="_Toc1333"/>
      <w:bookmarkStart w:id="45" w:name="_Toc25859"/>
    </w:p>
    <w:bookmarkEnd w:id="40"/>
    <w:bookmarkEnd w:id="41"/>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rPr>
          <w:rFonts w:hint="default" w:ascii="Times New Roman" w:hAnsi="Times New Roman" w:cs="Times New Roman"/>
          <w:lang w:val="en-US" w:eastAsia="zh-CN"/>
        </w:rPr>
      </w:pPr>
      <w:bookmarkStart w:id="46" w:name="_Toc5149"/>
      <w:bookmarkStart w:id="47" w:name="_Toc3228"/>
      <w:bookmarkStart w:id="48" w:name="_Toc6618"/>
      <w:bookmarkStart w:id="49" w:name="_Toc13625"/>
      <w:bookmarkStart w:id="50" w:name="_Toc17780"/>
      <w:r>
        <w:rPr>
          <w:rStyle w:val="16"/>
          <w:rFonts w:hint="default" w:ascii="Times New Roman" w:hAnsi="Times New Roman" w:cs="Times New Roman"/>
        </w:rPr>
        <w:t>●</w:t>
      </w:r>
      <w:r>
        <w:rPr>
          <w:rStyle w:val="16"/>
          <w:rFonts w:hint="default" w:ascii="Times New Roman" w:hAnsi="Times New Roman" w:cs="Times New Roman"/>
          <w:lang w:val="en-US" w:eastAsia="zh-CN"/>
        </w:rPr>
        <w:t>邮储银行发放</w:t>
      </w:r>
      <w:r>
        <w:rPr>
          <w:rStyle w:val="16"/>
          <w:rFonts w:hint="eastAsia" w:cs="Times New Roman"/>
          <w:lang w:val="en-US" w:eastAsia="zh-CN"/>
        </w:rPr>
        <w:t>全省首笔</w:t>
      </w:r>
      <w:r>
        <w:rPr>
          <w:rStyle w:val="16"/>
          <w:rFonts w:hint="default" w:ascii="Times New Roman" w:hAnsi="Times New Roman" w:cs="Times New Roman"/>
          <w:lang w:val="en-US" w:eastAsia="zh-CN"/>
        </w:rPr>
        <w:t>绿色金融专项贷款</w:t>
      </w:r>
      <w:r>
        <w:rPr>
          <w:rStyle w:val="16"/>
          <w:rFonts w:hint="eastAsia" w:cs="Times New Roman"/>
          <w:lang w:val="en-US" w:eastAsia="zh-CN"/>
        </w:rPr>
        <w:t xml:space="preserve"> </w:t>
      </w:r>
      <w:r>
        <w:rPr>
          <w:rStyle w:val="16"/>
          <w:rFonts w:hint="default" w:ascii="Times New Roman" w:hAnsi="Times New Roman" w:cs="Times New Roman"/>
          <w:lang w:val="en-US" w:eastAsia="zh-CN"/>
        </w:rPr>
        <w:t>助力长龙山项目建设</w:t>
      </w:r>
      <w:bookmarkEnd w:id="46"/>
      <w:bookmarkEnd w:id="47"/>
      <w:bookmarkEnd w:id="48"/>
      <w:bookmarkEnd w:id="49"/>
      <w:bookmarkEnd w:id="50"/>
      <w:r>
        <w:rPr>
          <w:rFonts w:hint="eastAsia" w:cs="Times New Roman"/>
          <w:b/>
          <w:bCs/>
          <w:szCs w:val="30"/>
          <w:lang w:val="en-US" w:eastAsia="zh-CN"/>
        </w:rPr>
        <w:t>。</w:t>
      </w:r>
      <w:r>
        <w:rPr>
          <w:rFonts w:hint="default" w:ascii="Times New Roman" w:hAnsi="Times New Roman" w:cs="Times New Roman"/>
          <w:lang w:val="en-US" w:eastAsia="zh-CN"/>
        </w:rPr>
        <w:t>“全面推进绿色信贷”是银行业“十三五”规划的重要战略方向之一。一直以来，邮储银行湖州市分行持续服务湖州实体经济，积极发展符合政策要求的绿色信贷业务，集中资源重点支持辖内大型绿色工程项目。去年，该行对湖州地区第一笔纳入省财政部PPP项目库的“生态+”项目——南太湖一体化之太湖图影湿地项目资本金部分进行资金支持，投放了12亿元，目前对该项目正向上级行申报项目贷款，争取实现“投贷联动”。</w:t>
      </w:r>
      <w:r>
        <w:rPr>
          <w:rFonts w:hint="eastAsia" w:cs="Times New Roman"/>
          <w:lang w:val="en-US" w:eastAsia="zh-CN"/>
        </w:rPr>
        <w:t>今年9月，该</w:t>
      </w:r>
      <w:r>
        <w:rPr>
          <w:rFonts w:hint="default" w:ascii="Times New Roman" w:hAnsi="Times New Roman" w:cs="Times New Roman"/>
          <w:lang w:val="en-US" w:eastAsia="zh-CN"/>
        </w:rPr>
        <w:t>行积极对上沟通，在省分行的大力支持下，特批绿色金融专项贷款额度人民币5000万元用于长龙山抽水蓄能项目</w:t>
      </w:r>
      <w:r>
        <w:rPr>
          <w:rFonts w:hint="eastAsia" w:cs="Times New Roman"/>
          <w:lang w:val="en-US" w:eastAsia="zh-CN"/>
        </w:rPr>
        <w:t>建设，</w:t>
      </w:r>
      <w:r>
        <w:rPr>
          <w:rFonts w:hint="default" w:ascii="Times New Roman" w:hAnsi="Times New Roman" w:cs="Times New Roman"/>
          <w:lang w:val="en-US" w:eastAsia="zh-CN"/>
        </w:rPr>
        <w:t>也是全省首笔绿色金融专项贷款。</w:t>
      </w:r>
      <w:r>
        <w:rPr>
          <w:rFonts w:hint="eastAsia" w:cs="Times New Roman"/>
          <w:lang w:val="en-US" w:eastAsia="zh-CN"/>
        </w:rPr>
        <w:t>下一步，邮储银行</w:t>
      </w:r>
      <w:r>
        <w:rPr>
          <w:rFonts w:hint="default" w:ascii="Times New Roman" w:hAnsi="Times New Roman" w:cs="Times New Roman"/>
          <w:lang w:val="en-US" w:eastAsia="zh-CN"/>
        </w:rPr>
        <w:t>湖州市分行将持续贯彻</w:t>
      </w:r>
      <w:r>
        <w:rPr>
          <w:rFonts w:hint="eastAsia" w:cs="Times New Roman"/>
          <w:lang w:val="en-US" w:eastAsia="zh-CN"/>
        </w:rPr>
        <w:t>市委市政府</w:t>
      </w:r>
      <w:r>
        <w:rPr>
          <w:rFonts w:hint="default" w:ascii="Times New Roman" w:hAnsi="Times New Roman" w:cs="Times New Roman"/>
          <w:lang w:val="en-US" w:eastAsia="zh-CN"/>
        </w:rPr>
        <w:t>及上级行的指引，发挥“两山”理念发源地的区域优势，不断挖掘细绿色信贷客户深层需求，以多元化融资工具支持绿色项目建设，确保将绿色信贷理念落到实处</w:t>
      </w:r>
      <w:r>
        <w:rPr>
          <w:rFonts w:hint="eastAsia"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rPr>
          <w:rFonts w:hint="default" w:ascii="Times New Roman" w:hAnsi="Times New Roman" w:cs="Times New Roman"/>
          <w:lang w:val="en-US" w:eastAsia="zh-CN"/>
        </w:rPr>
      </w:pPr>
      <w:r>
        <w:rPr>
          <w:rFonts w:hint="eastAsia" w:cs="Times New Roman"/>
          <w:lang w:val="en-US" w:eastAsia="zh-CN"/>
        </w:rPr>
        <w:t xml:space="preserve">                              </w:t>
      </w:r>
      <w:r>
        <w:rPr>
          <w:rFonts w:hint="default" w:ascii="Times New Roman" w:hAnsi="Times New Roman" w:cs="Times New Roman"/>
          <w:lang w:eastAsia="zh-CN"/>
        </w:rPr>
        <w:t>（</w:t>
      </w:r>
      <w:r>
        <w:rPr>
          <w:rFonts w:hint="eastAsia" w:cs="Times New Roman"/>
          <w:szCs w:val="30"/>
          <w:lang w:val="en-US" w:eastAsia="zh-CN"/>
        </w:rPr>
        <w:t>邮储银行湖州市分行</w:t>
      </w:r>
      <w:r>
        <w:rPr>
          <w:rFonts w:hint="default"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cs="Times New Roman"/>
          <w:color w:val="auto"/>
          <w:sz w:val="30"/>
          <w:szCs w:val="30"/>
          <w:lang w:val="en-US" w:eastAsia="zh-CN"/>
        </w:rPr>
      </w:pPr>
      <w:bookmarkStart w:id="51" w:name="_Toc8365"/>
      <w:r>
        <w:rPr>
          <w:rStyle w:val="16"/>
          <w:rFonts w:hint="default" w:ascii="Times New Roman" w:hAnsi="Times New Roman" w:cs="Times New Roman"/>
        </w:rPr>
        <w:t>●</w:t>
      </w:r>
      <w:r>
        <w:rPr>
          <w:rStyle w:val="16"/>
          <w:rFonts w:hint="default" w:ascii="Times New Roman" w:hAnsi="Times New Roman" w:cs="Times New Roman"/>
          <w:lang w:val="en-US" w:eastAsia="zh-CN"/>
        </w:rPr>
        <w:t>南浔银行打造“三个新金融”优化客户体验</w:t>
      </w:r>
      <w:bookmarkEnd w:id="51"/>
      <w:r>
        <w:rPr>
          <w:rFonts w:hint="eastAsia" w:cs="Times New Roman"/>
          <w:b/>
          <w:bCs/>
          <w:szCs w:val="30"/>
          <w:lang w:val="en-US" w:eastAsia="zh-CN"/>
        </w:rPr>
        <w:t>。</w:t>
      </w:r>
      <w:r>
        <w:rPr>
          <w:rFonts w:hint="eastAsia" w:cs="Times New Roman"/>
          <w:color w:val="auto"/>
          <w:sz w:val="30"/>
          <w:szCs w:val="30"/>
          <w:lang w:val="en-US" w:eastAsia="zh-CN"/>
        </w:rPr>
        <w:t>今年以来，南浔银行遵循新金融发展导向，结合改革新政，着力完善服务体系、提升服务能力，塑造精准、高效、便捷的客户服务体验。</w:t>
      </w:r>
      <w:r>
        <w:rPr>
          <w:rFonts w:hint="eastAsia" w:cs="Times New Roman"/>
          <w:b/>
          <w:bCs/>
          <w:color w:val="auto"/>
          <w:sz w:val="30"/>
          <w:szCs w:val="30"/>
          <w:lang w:val="en-US" w:eastAsia="zh-CN"/>
        </w:rPr>
        <w:t>一是打造“科技金融”，提升服务精度。</w:t>
      </w:r>
      <w:r>
        <w:rPr>
          <w:rFonts w:hint="eastAsia" w:cs="Times New Roman"/>
          <w:color w:val="auto"/>
          <w:sz w:val="30"/>
          <w:szCs w:val="30"/>
          <w:lang w:val="en-US" w:eastAsia="zh-CN"/>
        </w:rPr>
        <w:t>着力提升金融大数据开发能力，完成了数据分析平台搭建工作，通过数据建仓、分析与应用，目前已成功建立了“全行客户细分模型”和“小贷客户打捞模型”，初步实现大数据在客户分层维护与精准服务领域的探索应用，有效提升了农户小额信用贷款等惠农产品的服务精度。截至8月末，农户小额信用贷款新增2106户，比年初增加11.65%，贷款余额则增加了19.44%，总量达2041亿元。</w:t>
      </w:r>
      <w:r>
        <w:rPr>
          <w:rFonts w:hint="eastAsia" w:cs="Times New Roman"/>
          <w:b/>
          <w:bCs/>
          <w:color w:val="auto"/>
          <w:sz w:val="30"/>
          <w:szCs w:val="30"/>
          <w:lang w:val="en-US" w:eastAsia="zh-CN"/>
        </w:rPr>
        <w:t>二是打造“智慧金融”，拓展服务深度。</w:t>
      </w:r>
      <w:r>
        <w:rPr>
          <w:rFonts w:hint="eastAsia" w:cs="Times New Roman"/>
          <w:color w:val="auto"/>
          <w:sz w:val="30"/>
          <w:szCs w:val="30"/>
          <w:lang w:val="en-US" w:eastAsia="zh-CN"/>
        </w:rPr>
        <w:t>以互联网+为核心，推动数字金融的跨界发展，在“银医通”、“智慧菜场”等应用项目基础上，今年与南浔中学等学校合作推进“智慧校园”项目，已累计发生交易27.64万笔，并积极参与城投集团“智慧停车”项目招标，已取得初步成果。同时该行依托99台智能POS 终端设施，拓展银行卡应用场景，积极打造“智慧商圈”，有效加强了社区金融服务深度和力度。</w:t>
      </w:r>
      <w:r>
        <w:rPr>
          <w:rFonts w:hint="eastAsia" w:cs="Times New Roman"/>
          <w:b/>
          <w:bCs/>
          <w:color w:val="auto"/>
          <w:sz w:val="30"/>
          <w:szCs w:val="30"/>
          <w:lang w:val="en-US" w:eastAsia="zh-CN"/>
        </w:rPr>
        <w:t>三是打造“便捷金融”，拓展服务广度。</w:t>
      </w:r>
      <w:r>
        <w:rPr>
          <w:rFonts w:hint="eastAsia" w:cs="Times New Roman"/>
          <w:color w:val="auto"/>
          <w:sz w:val="30"/>
          <w:szCs w:val="30"/>
          <w:lang w:val="en-US" w:eastAsia="zh-CN"/>
        </w:rPr>
        <w:t>根据“最多跑一次”改革要求，与政府职能部门开展积极合作，实现更多“一窗受理，延伸服务”。与市场监管局合作推出“工商注册通”代办服务，累计办理286笔；与湖州水务集团合作，实现与全区通用水务系统、南浔与双林两镇水务系统的分别对接，全渠道开通水费代缴业务，目前已签约5000多户；同时与新奥燃气签订合作协议，9月正式上线燃气费代缴；8月与社保局开展“银社联通”合作项目，在南浔、练市、菱湖三家支行设立了22项社保业务代办点；9月6日与国土资源局也签订了战略合作协议，推出“不动产抵押登记就近办”服务。                        （南浔银行）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rPr>
          <w:rFonts w:hint="default" w:ascii="Times New Roman" w:hAnsi="Times New Roman" w:cs="Times New Roman"/>
          <w:lang w:val="en-US" w:eastAsia="zh-CN"/>
        </w:rPr>
      </w:pPr>
      <w:bookmarkStart w:id="52" w:name="_Toc5824"/>
      <w:r>
        <w:rPr>
          <w:rStyle w:val="16"/>
          <w:rFonts w:hint="default" w:ascii="Times New Roman" w:hAnsi="Times New Roman" w:cs="Times New Roman"/>
        </w:rPr>
        <w:t>●</w:t>
      </w:r>
      <w:r>
        <w:rPr>
          <w:rStyle w:val="16"/>
          <w:rFonts w:hint="default" w:ascii="Times New Roman" w:hAnsi="Times New Roman" w:cs="Times New Roman"/>
          <w:lang w:val="en-US" w:eastAsia="zh-CN"/>
        </w:rPr>
        <w:t>安吉农商行成功发放全省首笔“丰收先锋贷”</w:t>
      </w:r>
      <w:bookmarkEnd w:id="52"/>
      <w:r>
        <w:rPr>
          <w:rFonts w:hint="eastAsia" w:cs="Times New Roman"/>
          <w:b/>
          <w:bCs/>
          <w:szCs w:val="30"/>
          <w:lang w:val="en-US" w:eastAsia="zh-CN"/>
        </w:rPr>
        <w:t>。</w:t>
      </w:r>
      <w:r>
        <w:rPr>
          <w:rFonts w:hint="default" w:ascii="Times New Roman" w:hAnsi="Times New Roman" w:cs="Times New Roman"/>
          <w:lang w:val="en-US" w:eastAsia="zh-CN"/>
        </w:rPr>
        <w:t xml:space="preserve">近日，安吉农商行成功发放全省首笔“丰收先锋贷”100万元，贷款利率按照基准利率执行。今年4月9日，黄杜村20名党员联名向习近平总书记写信汇报村里种植白茶致富的情况，并表达愿意捐赠茶苗扶贫的想法，得到总书记回信“点赞”后，黄杜村党员便开始精心培育捐赠茶苗“白叶一号”。为了全力满足捐赠茶苗党员的实际信贷需求，减轻其在茶苗运输、培育指导等方面的经济负担，安吉农商行计划至2020年底，力争在黄杜村实现整村授信额度达3亿元，信贷投放余额超2.5亿元，据测算，此举将每年为黄杜村党员节省融资成本近100万元，为“致富不忘党恩，先富带动后富”增添动力。                       </w:t>
      </w:r>
      <w:r>
        <w:rPr>
          <w:rFonts w:hint="eastAsia" w:cs="Times New Roman"/>
          <w:lang w:val="en-US" w:eastAsia="zh-CN"/>
        </w:rPr>
        <w:t xml:space="preserve"> </w:t>
      </w:r>
      <w:r>
        <w:rPr>
          <w:rFonts w:hint="default" w:ascii="Times New Roman" w:hAnsi="Times New Roman" w:cs="Times New Roman"/>
          <w:lang w:val="en-US" w:eastAsia="zh-CN"/>
        </w:rPr>
        <w:t xml:space="preserve"> </w:t>
      </w:r>
      <w:r>
        <w:rPr>
          <w:rFonts w:hint="eastAsia" w:cs="Times New Roman"/>
          <w:lang w:val="en-US" w:eastAsia="zh-CN"/>
        </w:rPr>
        <w:t xml:space="preserve"> </w:t>
      </w:r>
      <w:r>
        <w:rPr>
          <w:rFonts w:hint="default" w:ascii="Times New Roman" w:hAnsi="Times New Roman" w:cs="Times New Roman"/>
          <w:lang w:val="en-US" w:eastAsia="zh-CN"/>
        </w:rPr>
        <w:t xml:space="preserve">  （安吉</w:t>
      </w:r>
      <w:r>
        <w:rPr>
          <w:rFonts w:hint="eastAsia" w:cs="Times New Roman"/>
          <w:lang w:val="en-US" w:eastAsia="zh-CN"/>
        </w:rPr>
        <w:t>农商行</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rPr>
          <w:rFonts w:hint="default" w:ascii="Times New Roman" w:hAnsi="Times New Roman" w:cs="Times New Roman"/>
          <w:lang w:val="en-US" w:eastAsia="zh-CN"/>
        </w:rPr>
      </w:pPr>
    </w:p>
    <w:p>
      <w:pPr>
        <w:keepNext w:val="0"/>
        <w:keepLines w:val="0"/>
        <w:pageBreakBefore w:val="0"/>
        <w:kinsoku/>
        <w:wordWrap/>
        <w:overflowPunct/>
        <w:topLinePunct w:val="0"/>
        <w:autoSpaceDN/>
        <w:bidi w:val="0"/>
        <w:adjustRightInd/>
        <w:snapToGrid/>
        <w:spacing w:line="540" w:lineRule="exact"/>
        <w:ind w:left="0" w:leftChars="0" w:right="0" w:rightChars="0" w:firstLine="600" w:firstLineChars="200"/>
        <w:jc w:val="both"/>
        <w:textAlignment w:val="auto"/>
        <w:rPr>
          <w:rFonts w:hint="default" w:ascii="Times New Roman" w:hAnsi="Times New Roman" w:cs="Times New Roman"/>
          <w:szCs w:val="30"/>
        </w:rPr>
      </w:pPr>
      <w:r>
        <w:rPr>
          <w:rFonts w:hint="default" w:ascii="Times New Roman" w:hAnsi="Times New Roman" w:cs="Times New Roman"/>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cs="Times New Roman"/>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cs="Times New Roman"/>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cs="Times New Roman"/>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cs="Times New Roman"/>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cs="Times New Roman"/>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cs="Times New Roman"/>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cs="Times New Roman"/>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cs="Times New Roman"/>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cs="Times New Roman"/>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cs="Times New Roman"/>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cs="Times New Roman"/>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cs="Times New Roman"/>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cs="Times New Roman"/>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default" w:ascii="Times New Roman" w:hAnsi="Times New Roman" w:eastAsia="仿宋_GB2312" w:cs="Times New Roman"/>
          <w:color w:val="auto"/>
          <w:sz w:val="30"/>
          <w:szCs w:val="30"/>
          <w:lang w:val="en-US" w:eastAsia="zh-CN"/>
        </w:rPr>
      </w:pPr>
      <w:r>
        <w:rPr>
          <w:rFonts w:hint="eastAsia" w:cs="Times New Roman"/>
          <w:color w:val="auto"/>
          <w:sz w:val="30"/>
          <w:szCs w:val="30"/>
          <w:lang w:val="en-US" w:eastAsia="zh-CN"/>
        </w:rPr>
        <w:t xml:space="preserve">      </w:t>
      </w:r>
    </w:p>
    <w:bookmarkEnd w:id="42"/>
    <w:bookmarkEnd w:id="43"/>
    <w:bookmarkEnd w:id="44"/>
    <w:bookmarkEnd w:id="45"/>
    <w:p>
      <w:pPr>
        <w:keepNext w:val="0"/>
        <w:keepLines w:val="0"/>
        <w:pageBreakBefore w:val="0"/>
        <w:kinsoku/>
        <w:wordWrap/>
        <w:overflowPunct/>
        <w:topLinePunct w:val="0"/>
        <w:autoSpaceDN/>
        <w:bidi w:val="0"/>
        <w:adjustRightInd/>
        <w:snapToGrid/>
        <w:spacing w:line="540" w:lineRule="exact"/>
        <w:ind w:left="0" w:leftChars="0" w:right="0" w:rightChars="0" w:firstLine="0" w:firstLineChars="0"/>
        <w:jc w:val="both"/>
        <w:textAlignment w:val="auto"/>
        <w:rPr>
          <w:rFonts w:hint="default" w:ascii="Times New Roman" w:hAnsi="Times New Roman" w:cs="Times New Roman"/>
          <w:szCs w:val="30"/>
        </w:rPr>
      </w:pPr>
    </w:p>
    <w:p>
      <w:pPr>
        <w:ind w:left="0" w:leftChars="0" w:firstLine="0" w:firstLineChars="0"/>
        <w:jc w:val="both"/>
        <w:rPr>
          <w:rFonts w:hint="default" w:ascii="Times New Roman" w:hAnsi="Times New Roman" w:cs="Times New Roman"/>
          <w:szCs w:val="30"/>
        </w:rPr>
      </w:pPr>
    </w:p>
    <w:p>
      <w:pPr>
        <w:ind w:left="0" w:leftChars="0" w:firstLine="0" w:firstLineChars="0"/>
        <w:jc w:val="both"/>
        <w:rPr>
          <w:rFonts w:hint="default" w:ascii="Times New Roman" w:hAnsi="Times New Roman" w:cs="Times New Roman"/>
          <w:szCs w:val="30"/>
        </w:rPr>
      </w:pPr>
    </w:p>
    <w:p>
      <w:pPr>
        <w:spacing w:line="520" w:lineRule="exact"/>
        <w:ind w:left="900" w:leftChars="100" w:right="300" w:rightChars="100" w:hanging="600" w:hangingChars="200"/>
        <w:jc w:val="both"/>
        <w:rPr>
          <w:rFonts w:hint="default" w:ascii="Times New Roman" w:hAnsi="Times New Roman" w:cs="Times New Roman"/>
          <w:sz w:val="28"/>
          <w:szCs w:val="28"/>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68580</wp:posOffset>
                </wp:positionV>
                <wp:extent cx="5734050" cy="0"/>
                <wp:effectExtent l="0" t="0" r="0" b="0"/>
                <wp:wrapNone/>
                <wp:docPr id="1" name="直线 5"/>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5.4pt;margin-top:5.4pt;height:0pt;width:451.5pt;z-index:251659264;mso-width-relative:page;mso-height-relative:page;" filled="f" stroked="t" coordsize="21600,21600" o:gfxdata="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WCrg01QAAAAkBAAAPAAAAAAAAAAEAIAAAACIAAABkcnMv&#10;ZG93bnJldi54bWxQSwECFAAUAAAACACHTuJA5LKLHc0BAACNAwAADgAAAAAAAAABACAAAAAkAQAA&#10;ZHJzL2Uyb0RvYy54bWxQSwUGAAAAAAYABgBZAQAAYwUAAAAA&#10;">
                <v:fill on="f" focussize="0,0"/>
                <v:stroke color="#000000" joinstyle="round"/>
                <v:imagedata o:title=""/>
                <o:lock v:ext="edit" aspectratio="f"/>
              </v:line>
            </w:pict>
          </mc:Fallback>
        </mc:AlternateContent>
      </w:r>
      <w:r>
        <w:rPr>
          <w:rFonts w:hint="default" w:ascii="Times New Roman" w:hAnsi="Times New Roman" w:cs="Times New Roman"/>
          <w:sz w:val="28"/>
          <w:szCs w:val="28"/>
        </w:rPr>
        <w:t>报：市委办，市人大办，市府办，市政协办，省金融办。</w:t>
      </w:r>
    </w:p>
    <w:p>
      <w:pPr>
        <w:spacing w:line="520" w:lineRule="exact"/>
        <w:ind w:left="860" w:leftChars="100" w:right="300" w:rightChars="100" w:hanging="560" w:hangingChars="200"/>
        <w:jc w:val="both"/>
        <w:rPr>
          <w:rFonts w:hint="default" w:ascii="Times New Roman" w:hAnsi="Times New Roman" w:cs="Times New Roman"/>
          <w:sz w:val="28"/>
          <w:szCs w:val="28"/>
        </w:rPr>
      </w:pPr>
      <w:r>
        <w:rPr>
          <w:rFonts w:hint="default" w:ascii="Times New Roman" w:hAnsi="Times New Roman" w:cs="Times New Roman"/>
          <w:sz w:val="28"/>
          <w:szCs w:val="28"/>
        </w:rPr>
        <w:t>发：办领导，各处室，各县区金融办，各有关金融机构。</w:t>
      </w:r>
    </w:p>
    <w:p>
      <w:pPr>
        <w:keepNext w:val="0"/>
        <w:keepLines w:val="0"/>
        <w:pageBreakBefore w:val="0"/>
        <w:widowControl w:val="0"/>
        <w:kinsoku/>
        <w:wordWrap/>
        <w:overflowPunct/>
        <w:topLinePunct w:val="0"/>
        <w:autoSpaceDE/>
        <w:autoSpaceDN/>
        <w:bidi w:val="0"/>
        <w:adjustRightInd/>
        <w:snapToGrid/>
        <w:spacing w:line="520" w:lineRule="exact"/>
        <w:ind w:right="300" w:rightChars="100" w:firstLine="0" w:firstLineChars="0"/>
        <w:jc w:val="center"/>
        <w:textAlignment w:val="auto"/>
        <w:outlineLvl w:val="9"/>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68580</wp:posOffset>
                </wp:positionV>
                <wp:extent cx="5734050" cy="0"/>
                <wp:effectExtent l="0" t="0" r="0" b="0"/>
                <wp:wrapNone/>
                <wp:docPr id="2" name="直线 6"/>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5.25pt;margin-top:5.4pt;height:0pt;width:451.5pt;z-index:251659264;mso-width-relative:page;mso-height-relative:page;" filled="f" stroked="t" coordsize="21600,21600" o:gfxdata="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rUNXu1QAAAAkBAAAPAAAAAAAAAAEAIAAAACIAAABkcnMv&#10;ZG93bnJldi54bWxQSwECFAAUAAAACACHTuJA/9kQtM0BAACNAwAADgAAAAAAAAABACAAAAAkAQAA&#10;ZHJzL2Uyb0RvYy54bWxQSwUGAAAAAAYABgBZAQAAYwUAAAAA&#10;">
                <v:fill on="f" focussize="0,0"/>
                <v:stroke color="#000000" joinstyle="round"/>
                <v:imagedata o:title=""/>
                <o:lock v:ext="edit" aspectratio="f"/>
              </v:line>
            </w:pict>
          </mc:Fallback>
        </mc:AlternateContent>
      </w:r>
      <w:r>
        <w:rPr>
          <w:rFonts w:hint="default" w:ascii="Times New Roman" w:hAnsi="Times New Roman" w:cs="Times New Roman"/>
          <w:sz w:val="28"/>
          <w:szCs w:val="28"/>
        </w:rPr>
        <w:t xml:space="preserve">湖州市金融工作办公室综合处            </w:t>
      </w:r>
      <w:r>
        <w:rPr>
          <w:rFonts w:hint="default" w:ascii="Times New Roman" w:hAnsi="Times New Roman" w:cs="Times New Roman"/>
          <w:sz w:val="28"/>
          <w:szCs w:val="28"/>
          <w:lang w:val="en-US" w:eastAsia="zh-CN"/>
        </w:rPr>
        <w:t xml:space="preserve">  </w:t>
      </w:r>
      <w:r>
        <w:rPr>
          <w:rFonts w:hint="default" w:ascii="Times New Roman" w:hAnsi="Times New Roman" w:cs="Times New Roman"/>
          <w:szCs w:val="30"/>
        </w:rPr>
        <w:t>201</w:t>
      </w:r>
      <w:r>
        <w:rPr>
          <w:rFonts w:hint="default" w:ascii="Times New Roman" w:hAnsi="Times New Roman" w:cs="Times New Roman"/>
          <w:szCs w:val="30"/>
          <w:lang w:val="en-US" w:eastAsia="zh-CN"/>
        </w:rPr>
        <w:t>8</w:t>
      </w:r>
      <w:r>
        <w:rPr>
          <w:rFonts w:hint="default" w:ascii="Times New Roman" w:hAnsi="Times New Roman" w:cs="Times New Roman"/>
          <w:sz w:val="28"/>
          <w:szCs w:val="28"/>
        </w:rPr>
        <w:t>年</w:t>
      </w:r>
      <w:r>
        <w:rPr>
          <w:rFonts w:hint="eastAsia" w:cs="Times New Roman"/>
          <w:szCs w:val="30"/>
          <w:lang w:val="en-US" w:eastAsia="zh-CN"/>
        </w:rPr>
        <w:t>10</w:t>
      </w:r>
      <w:r>
        <w:rPr>
          <w:rFonts w:hint="default" w:ascii="Times New Roman" w:hAnsi="Times New Roman" w:cs="Times New Roman"/>
          <w:sz w:val="28"/>
          <w:szCs w:val="28"/>
        </w:rPr>
        <w:t>月</w:t>
      </w:r>
      <w:r>
        <w:rPr>
          <w:rFonts w:hint="eastAsia" w:cs="Times New Roman"/>
          <w:szCs w:val="30"/>
          <w:lang w:val="en-US" w:eastAsia="zh-CN"/>
        </w:rPr>
        <w:t>10</w:t>
      </w:r>
      <w:r>
        <w:rPr>
          <w:rFonts w:hint="default" w:ascii="Times New Roman" w:hAnsi="Times New Roman" w:cs="Times New Roman"/>
          <w:sz w:val="28"/>
          <w:szCs w:val="28"/>
        </w:rPr>
        <w:t>日</w:t>
      </w:r>
    </w:p>
    <w:sectPr>
      <w:footerReference r:id="rId3" w:type="default"/>
      <w:pgSz w:w="11906" w:h="16838"/>
      <w:pgMar w:top="1440" w:right="1800" w:bottom="1298"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pBdr>
        <w:top w:val="none" w:color="auto" w:sz="0" w:space="0"/>
        <w:left w:val="none" w:color="auto" w:sz="0" w:space="0"/>
        <w:bottom w:val="none" w:color="auto" w:sz="0" w:space="0"/>
        <w:right w:val="none" w:color="auto" w:sz="0" w:space="0"/>
      </w:pBdr>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宋体" w:hAnsi="宋体" w:eastAsia="宋体" w:cs="宋体"/>
        <w:sz w:val="28"/>
        <w:szCs w:val="28"/>
        <w:lang w:eastAsia="zh-CN"/>
      </w:rPr>
      <w:t>－</w:t>
    </w:r>
  </w:p>
  <w:p>
    <w:pPr>
      <w:pStyle w:val="7"/>
      <w:jc w:val="right"/>
      <w:rPr>
        <w:rFonts w:hint="default" w:ascii="宋体" w:hAnsi="宋体" w:eastAsia="宋体" w:cs="宋体"/>
        <w:sz w:val="28"/>
        <w:szCs w:val="28"/>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ED740F"/>
    <w:rsid w:val="079F3EEF"/>
    <w:rsid w:val="0B324DF9"/>
    <w:rsid w:val="22454886"/>
    <w:rsid w:val="2268530C"/>
    <w:rsid w:val="23234B09"/>
    <w:rsid w:val="24132D89"/>
    <w:rsid w:val="423870EB"/>
    <w:rsid w:val="4E1909C0"/>
    <w:rsid w:val="516478BE"/>
    <w:rsid w:val="5CEE4117"/>
    <w:rsid w:val="6D535020"/>
    <w:rsid w:val="76ED7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00" w:firstLineChars="20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link w:val="17"/>
    <w:qFormat/>
    <w:uiPriority w:val="0"/>
    <w:pPr>
      <w:widowControl/>
      <w:spacing w:before="100" w:beforeAutospacing="1" w:after="100" w:afterAutospacing="1" w:line="240" w:lineRule="auto"/>
      <w:ind w:firstLine="0" w:firstLineChars="0"/>
      <w:jc w:val="left"/>
      <w:outlineLvl w:val="0"/>
    </w:pPr>
    <w:rPr>
      <w:rFonts w:ascii="宋体" w:hAnsi="宋体" w:eastAsia="方正小标宋简体" w:cs="宋体"/>
      <w:bCs/>
      <w:kern w:val="36"/>
      <w:sz w:val="32"/>
      <w:szCs w:val="48"/>
    </w:rPr>
  </w:style>
  <w:style w:type="paragraph" w:styleId="3">
    <w:name w:val="heading 2"/>
    <w:basedOn w:val="1"/>
    <w:next w:val="1"/>
    <w:link w:val="16"/>
    <w:unhideWhenUsed/>
    <w:qFormat/>
    <w:uiPriority w:val="0"/>
    <w:pPr>
      <w:keepNext/>
      <w:keepLines/>
      <w:spacing w:before="260" w:after="260" w:line="416" w:lineRule="atLeast"/>
      <w:outlineLvl w:val="1"/>
    </w:pPr>
    <w:rPr>
      <w:rFonts w:eastAsia="方正小标宋简体" w:asciiTheme="majorHAnsi" w:hAnsiTheme="majorHAnsi" w:cstheme="majorBidi"/>
      <w:bCs/>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2">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spacing w:line="240" w:lineRule="auto"/>
      <w:ind w:firstLine="0" w:firstLineChars="0"/>
      <w:jc w:val="left"/>
    </w:pPr>
    <w:rPr>
      <w:rFonts w:asciiTheme="minorHAnsi" w:hAnsiTheme="minorHAnsi" w:eastAsiaTheme="minorEastAsia" w:cstheme="minorBidi"/>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tabs>
        <w:tab w:val="right" w:leader="dot" w:pos="8296"/>
      </w:tabs>
      <w:ind w:firstLine="0" w:firstLineChars="0"/>
    </w:pPr>
    <w:rPr>
      <w:b/>
    </w:rPr>
  </w:style>
  <w:style w:type="paragraph" w:styleId="10">
    <w:name w:val="toc 2"/>
    <w:basedOn w:val="1"/>
    <w:next w:val="1"/>
    <w:qFormat/>
    <w:uiPriority w:val="0"/>
    <w:pPr>
      <w:tabs>
        <w:tab w:val="right" w:leader="dot" w:pos="8296"/>
      </w:tabs>
      <w:spacing w:line="500" w:lineRule="exact"/>
      <w:ind w:left="600" w:leftChars="200"/>
    </w:pPr>
  </w:style>
  <w:style w:type="paragraph" w:styleId="11">
    <w:name w:val="Normal (Web)"/>
    <w:basedOn w:val="1"/>
    <w:qFormat/>
    <w:uiPriority w:val="0"/>
    <w:pPr>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jc w:val="left"/>
    </w:pPr>
    <w:rPr>
      <w:kern w:val="0"/>
      <w:sz w:val="24"/>
      <w:lang w:val="en-US" w:eastAsia="zh-CN" w:bidi="ar"/>
    </w:rPr>
  </w:style>
  <w:style w:type="character" w:styleId="13">
    <w:name w:val="FollowedHyperlink"/>
    <w:basedOn w:val="12"/>
    <w:qFormat/>
    <w:uiPriority w:val="0"/>
    <w:rPr>
      <w:color w:val="800080"/>
      <w:u w:val="none"/>
    </w:rPr>
  </w:style>
  <w:style w:type="character" w:styleId="14">
    <w:name w:val="Hyperlink"/>
    <w:basedOn w:val="12"/>
    <w:qFormat/>
    <w:uiPriority w:val="0"/>
    <w:rPr>
      <w:color w:val="0000FF"/>
      <w:u w:val="none"/>
    </w:rPr>
  </w:style>
  <w:style w:type="character" w:customStyle="1" w:styleId="16">
    <w:name w:val="标题 2 Char"/>
    <w:basedOn w:val="12"/>
    <w:link w:val="3"/>
    <w:semiHidden/>
    <w:qFormat/>
    <w:uiPriority w:val="9"/>
    <w:rPr>
      <w:rFonts w:eastAsia="方正小标宋简体" w:asciiTheme="majorHAnsi" w:hAnsiTheme="majorHAnsi" w:cstheme="majorBidi"/>
      <w:bCs/>
      <w:szCs w:val="32"/>
    </w:rPr>
  </w:style>
  <w:style w:type="character" w:customStyle="1" w:styleId="17">
    <w:name w:val="标题 1 Char"/>
    <w:link w:val="2"/>
    <w:qFormat/>
    <w:uiPriority w:val="0"/>
    <w:rPr>
      <w:rFonts w:ascii="宋体" w:hAnsi="宋体" w:eastAsia="方正小标宋简体" w:cs="宋体"/>
      <w:bCs/>
      <w:kern w:val="36"/>
      <w:sz w:val="32"/>
      <w:szCs w:val="48"/>
    </w:rPr>
  </w:style>
  <w:style w:type="paragraph" w:customStyle="1" w:styleId="18">
    <w:name w:val="TOC Heading"/>
    <w:basedOn w:val="2"/>
    <w:next w:val="1"/>
    <w:unhideWhenUsed/>
    <w:qFormat/>
    <w:uiPriority w:val="39"/>
    <w:pPr>
      <w:keepNext/>
      <w:keepLines/>
      <w:spacing w:before="480" w:beforeAutospacing="0" w:after="0" w:afterAutospacing="0" w:line="276" w:lineRule="auto"/>
      <w:outlineLvl w:val="9"/>
    </w:pPr>
    <w:rPr>
      <w:rFonts w:asciiTheme="majorHAnsi" w:hAnsiTheme="majorHAnsi" w:eastAsiaTheme="majorEastAsia" w:cstheme="majorBidi"/>
      <w:color w:val="2E75B6" w:themeColor="accent1" w:themeShade="BF"/>
      <w:kern w:val="0"/>
      <w:sz w:val="28"/>
      <w:szCs w:val="28"/>
    </w:rPr>
  </w:style>
  <w:style w:type="character" w:customStyle="1" w:styleId="19">
    <w:name w:val="on"/>
    <w:basedOn w:val="12"/>
    <w:qFormat/>
    <w:uiPriority w:val="0"/>
    <w:rPr>
      <w:shd w:val="clear"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B1D8B6"/>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2018-10-08T06:48:00Z</dcterms:created>
  <dc:creator>Xiaoya</dc:creator>
  <cp:lastModifiedBy>Xiaoya</cp:lastModifiedBy>
  <cp:lastPrinted>2018-10-10T06:18:00Z</cp:lastPrinted>
  <dcterms:modified xsi:type="dcterms:W3CDTF">2018-10-11T09:19:41Z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