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Times New Roman" w:hAnsi="Times New Roman"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cs="Times New Roman"/>
          <w:bCs/>
          <w:sz w:val="32"/>
          <w:szCs w:val="32"/>
        </w:rPr>
      </w:pPr>
    </w:p>
    <w:p>
      <w:pPr>
        <w:spacing w:line="520" w:lineRule="exact"/>
        <w:jc w:val="both"/>
        <w:rPr>
          <w:rFonts w:hint="default" w:ascii="Times New Roman" w:hAnsi="Times New Roman" w:cs="Times New Roman"/>
          <w:bCs/>
          <w:sz w:val="32"/>
          <w:szCs w:val="32"/>
        </w:rPr>
      </w:pPr>
      <w:r>
        <w:rPr>
          <w:rFonts w:hint="default" w:ascii="Times New Roman" w:hAnsi="Times New Roman" w:cs="Times New Roman"/>
        </w:rPr>
        <w:pict>
          <v:shape id="AutoShape 2" o:spid="_x0000_s1026" o:spt="136" type="#_x0000_t136" style="position:absolute;left:0pt;margin-top:5pt;height:48pt;width:320.25pt;mso-position-horizontal:center;z-index:251658240;mso-width-relative:page;mso-height-relative:page;" fillcolor="#FF0000" filled="t" stroked="t" coordsize="21600,21600">
            <v:path/>
            <v:fill on="t" focussize="0,0"/>
            <v:stroke color="#FF0000"/>
            <v:imagedata o:title=""/>
            <o:lock v:ext="edit"/>
            <v:textpath on="t" fitshape="t" fitpath="t" trim="t" xscale="f" string="金融工作简报" style="font-family:方正小标宋简体;font-size:48pt;v-text-align:center;v-text-spacing:78650f;"/>
          </v:shape>
        </w:pict>
      </w:r>
    </w:p>
    <w:p>
      <w:pPr>
        <w:spacing w:line="520" w:lineRule="exact"/>
        <w:ind w:firstLine="0" w:firstLineChars="0"/>
        <w:jc w:val="both"/>
        <w:rPr>
          <w:rFonts w:hint="default" w:ascii="Times New Roman" w:hAnsi="Times New Roman" w:cs="Times New Roman"/>
          <w:bCs/>
          <w:sz w:val="32"/>
          <w:szCs w:val="32"/>
        </w:rPr>
      </w:pPr>
    </w:p>
    <w:p>
      <w:pPr>
        <w:spacing w:line="520" w:lineRule="exact"/>
        <w:ind w:firstLine="640"/>
        <w:jc w:val="both"/>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年第</w:t>
      </w:r>
      <w:r>
        <w:rPr>
          <w:rFonts w:hint="default" w:ascii="Times New Roman" w:hAnsi="Times New Roman" w:cs="Times New Roman"/>
          <w:sz w:val="32"/>
          <w:szCs w:val="32"/>
          <w:lang w:val="en-US" w:eastAsia="zh-CN"/>
        </w:rPr>
        <w:t>7</w:t>
      </w:r>
      <w:r>
        <w:rPr>
          <w:rFonts w:hint="default" w:ascii="Times New Roman" w:hAnsi="Times New Roman" w:cs="Times New Roman"/>
          <w:sz w:val="32"/>
          <w:szCs w:val="32"/>
        </w:rPr>
        <w:t>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w:t>
      </w:r>
      <w:r>
        <w:rPr>
          <w:rFonts w:hint="default" w:ascii="Times New Roman" w:hAnsi="Times New Roman" w:cs="Times New Roman"/>
          <w:sz w:val="32"/>
          <w:szCs w:val="32"/>
        </w:rPr>
        <w:t>总第</w:t>
      </w:r>
      <w:r>
        <w:rPr>
          <w:rFonts w:hint="default" w:ascii="Times New Roman" w:hAnsi="Times New Roman" w:cs="Times New Roman"/>
          <w:sz w:val="32"/>
          <w:szCs w:val="32"/>
          <w:lang w:val="en-US" w:eastAsia="zh-CN"/>
        </w:rPr>
        <w:t>56</w:t>
      </w:r>
      <w:r>
        <w:rPr>
          <w:rFonts w:hint="default" w:ascii="Times New Roman" w:hAnsi="Times New Roman" w:cs="Times New Roman"/>
          <w:sz w:val="32"/>
          <w:szCs w:val="32"/>
        </w:rPr>
        <w:t>期</w:t>
      </w:r>
      <w:r>
        <w:rPr>
          <w:rFonts w:hint="default" w:ascii="Times New Roman" w:hAnsi="Times New Roman" w:cs="Times New Roman"/>
          <w:sz w:val="32"/>
          <w:szCs w:val="32"/>
          <w:lang w:eastAsia="zh-CN"/>
        </w:rPr>
        <w:t>）</w:t>
      </w:r>
    </w:p>
    <w:p>
      <w:pPr>
        <w:spacing w:line="520" w:lineRule="exact"/>
        <w:ind w:firstLine="640"/>
        <w:jc w:val="both"/>
        <w:rPr>
          <w:rFonts w:hint="default" w:ascii="Times New Roman" w:hAnsi="Times New Roman" w:cs="Times New Roman"/>
          <w:sz w:val="32"/>
          <w:szCs w:val="32"/>
        </w:rPr>
      </w:pPr>
    </w:p>
    <w:p>
      <w:pPr>
        <w:spacing w:line="520" w:lineRule="exact"/>
        <w:ind w:right="300" w:rightChars="100" w:firstLine="160" w:firstLineChars="50"/>
        <w:jc w:val="both"/>
        <w:rPr>
          <w:rFonts w:hint="default" w:ascii="Times New Roman" w:hAnsi="Times New Roman" w:cs="Times New Roman"/>
          <w:sz w:val="32"/>
          <w:szCs w:val="32"/>
        </w:rPr>
      </w:pPr>
      <w:r>
        <w:rPr>
          <w:rFonts w:hint="default" w:ascii="Times New Roman" w:hAnsi="Times New Roman" w:cs="Times New Roman"/>
          <w:sz w:val="32"/>
          <w:szCs w:val="32"/>
        </w:rPr>
        <w:t xml:space="preserve">湖州市金融工作办公室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 xml:space="preserve"> 201</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rPr>
        <w:t>月</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日</w:t>
      </w:r>
    </w:p>
    <w:p>
      <w:pPr>
        <w:pStyle w:val="11"/>
        <w:keepNext/>
        <w:keepLines/>
        <w:pageBreakBefore w:val="0"/>
        <w:widowControl/>
        <w:kinsoku/>
        <w:wordWrap/>
        <w:overflowPunct/>
        <w:topLinePunct w:val="0"/>
        <w:autoSpaceDE/>
        <w:autoSpaceDN/>
        <w:bidi w:val="0"/>
        <w:adjustRightInd/>
        <w:snapToGrid/>
        <w:spacing w:before="313" w:beforeLines="100" w:after="0" w:line="480" w:lineRule="exact"/>
        <w:ind w:left="0" w:leftChars="0" w:right="0" w:rightChars="0" w:firstLine="0" w:firstLineChars="0"/>
        <w:jc w:val="center"/>
        <w:textAlignment w:val="auto"/>
        <w:outlineLvl w:val="9"/>
        <w:rPr>
          <w:rFonts w:hint="default" w:ascii="Times New Roman" w:hAnsi="Times New Roman" w:eastAsia="方正小标宋简体" w:cs="Times New Roman"/>
          <w:b w:val="0"/>
          <w:color w:val="auto"/>
          <w:sz w:val="44"/>
          <w:szCs w:val="44"/>
          <w:lang w:val="zh-CN"/>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16510</wp:posOffset>
                </wp:positionV>
                <wp:extent cx="5221605" cy="8890"/>
                <wp:effectExtent l="0" t="0" r="0" b="0"/>
                <wp:wrapNone/>
                <wp:docPr id="3" name="Line 3"/>
                <wp:cNvGraphicFramePr/>
                <a:graphic xmlns:a="http://schemas.openxmlformats.org/drawingml/2006/main">
                  <a:graphicData uri="http://schemas.microsoft.com/office/word/2010/wordprocessingShape">
                    <wps:wsp>
                      <wps:cNvCnPr/>
                      <wps:spPr>
                        <a:xfrm flipV="1">
                          <a:off x="0" y="0"/>
                          <a:ext cx="5221605" cy="88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6pt;margin-top:1.3pt;height:0.7pt;width:411.15pt;z-index:251658240;mso-width-relative:page;mso-height-relative:page;" filled="f" stroked="t" coordsize="21600,21600" o:gfxdata="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&#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TptqHWAAAABgEAAA8AAAAAAAAAAQAgAAAAIgAAAGRy&#10;cy9kb3ducmV2LnhtbFBLAQIUABQAAAAIAIdO4kDxdLpCzgEAAJkDAAAOAAAAAAAAAAEAIAAAACUB&#10;AABkcnMvZTJvRG9jLnhtbFBLBQYAAAAABgAGAFkBAABlBQAAAAA=&#10;">
                <v:fill on="f" focussize="0,0"/>
                <v:stroke weight="3pt" color="#FF0000" joinstyle="round"/>
                <v:imagedata o:title=""/>
                <o:lock v:ext="edit" aspectratio="f"/>
              </v:line>
            </w:pict>
          </mc:Fallback>
        </mc:AlternateContent>
      </w:r>
      <w:r>
        <w:rPr>
          <w:rFonts w:hint="default" w:ascii="Times New Roman" w:hAnsi="Times New Roman" w:eastAsia="方正小标宋简体" w:cs="Times New Roman"/>
          <w:b w:val="0"/>
          <w:color w:val="auto"/>
          <w:sz w:val="44"/>
          <w:szCs w:val="44"/>
          <w:lang w:val="zh-CN"/>
        </w:rPr>
        <w:t>目</w:t>
      </w:r>
      <w:r>
        <w:rPr>
          <w:rFonts w:hint="default" w:ascii="Times New Roman" w:hAnsi="Times New Roman" w:eastAsia="方正小标宋简体" w:cs="Times New Roman"/>
          <w:b w:val="0"/>
          <w:color w:val="auto"/>
          <w:sz w:val="44"/>
          <w:szCs w:val="44"/>
          <w:lang w:val="en-US" w:eastAsia="zh-CN"/>
        </w:rPr>
        <w:t xml:space="preserve"> </w:t>
      </w:r>
      <w:r>
        <w:rPr>
          <w:rFonts w:hint="default" w:ascii="Times New Roman" w:hAnsi="Times New Roman" w:eastAsia="方正小标宋简体" w:cs="Times New Roman"/>
          <w:b w:val="0"/>
          <w:color w:val="auto"/>
          <w:sz w:val="44"/>
          <w:szCs w:val="44"/>
          <w:lang w:val="zh-CN"/>
        </w:rPr>
        <w:t>录</w:t>
      </w:r>
    </w:p>
    <w:p>
      <w:pPr>
        <w:pStyle w:val="5"/>
        <w:pageBreakBefore w:val="0"/>
        <w:tabs>
          <w:tab w:val="right" w:leader="dot" w:pos="8306"/>
          <w:tab w:val="clear" w:pos="8296"/>
        </w:tabs>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eastAsia="仿宋_GB2312" w:cs="Times New Roman"/>
          <w:b w:val="0"/>
          <w:color w:val="auto"/>
          <w:sz w:val="44"/>
          <w:szCs w:val="44"/>
          <w:lang w:val="zh-CN"/>
        </w:rPr>
        <w:fldChar w:fldCharType="begin"/>
      </w:r>
      <w:r>
        <w:rPr>
          <w:rFonts w:hint="default" w:ascii="Times New Roman" w:hAnsi="Times New Roman" w:eastAsia="仿宋_GB2312" w:cs="Times New Roman"/>
          <w:b w:val="0"/>
          <w:color w:val="auto"/>
          <w:sz w:val="44"/>
          <w:szCs w:val="44"/>
          <w:lang w:val="zh-CN"/>
        </w:rPr>
        <w:instrText xml:space="preserve">TOC \o "1-3" \h \u </w:instrText>
      </w:r>
      <w:r>
        <w:rPr>
          <w:rFonts w:hint="default" w:ascii="Times New Roman" w:hAnsi="Times New Roman" w:eastAsia="仿宋_GB2312" w:cs="Times New Roman"/>
          <w:b w:val="0"/>
          <w:color w:val="auto"/>
          <w:sz w:val="44"/>
          <w:szCs w:val="44"/>
          <w:lang w:val="zh-CN"/>
        </w:rPr>
        <w:fldChar w:fldCharType="separate"/>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_Toc22019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w:t>
      </w:r>
      <w:r>
        <w:rPr>
          <w:rFonts w:hint="default" w:ascii="Times New Roman" w:hAnsi="Times New Roman" w:cs="Times New Roman"/>
          <w:lang w:eastAsia="zh-CN"/>
        </w:rPr>
        <w:t>动态</w:t>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_Toc22019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_Toc22127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●市政协副主席方新旗、叶理中一行赴市金融办调研督办金融重</w:t>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300" w:firstLineChars="100"/>
        <w:textAlignment w:val="auto"/>
        <w:rPr>
          <w:rFonts w:hint="default" w:ascii="Times New Roman" w:hAnsi="Times New Roman" w:cs="Times New Roman"/>
        </w:rPr>
      </w:pPr>
      <w:r>
        <w:rPr>
          <w:rFonts w:hint="default" w:ascii="Times New Roman" w:hAnsi="Times New Roman" w:cs="Times New Roman"/>
        </w:rPr>
        <w:t>点工作推进情况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_Toc22127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_Toc27168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w:t>
      </w:r>
      <w:r>
        <w:rPr>
          <w:rFonts w:hint="default" w:ascii="Times New Roman" w:hAnsi="Times New Roman" w:cs="Times New Roman"/>
          <w:highlight w:val="none"/>
          <w:lang w:val="en-US" w:eastAsia="zh-CN"/>
        </w:rPr>
        <w:t>吴兴区三举措强化防范和化解地方金融风险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_Toc27168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_Toc15132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w:t>
      </w:r>
      <w:r>
        <w:rPr>
          <w:rFonts w:hint="default" w:ascii="Times New Roman" w:hAnsi="Times New Roman" w:cs="Times New Roman"/>
          <w:highlight w:val="none"/>
          <w:lang w:val="en-US" w:eastAsia="zh-CN"/>
        </w:rPr>
        <w:t>南浔区全省率先推行跑道鱼渔业养殖保险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_Toc15132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_Toc814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rPr>
        <w:t>●安吉县优化银行开户服务助力“最多跑一次”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_Toc814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5"/>
        <w:pageBreakBefore w:val="0"/>
        <w:tabs>
          <w:tab w:val="right" w:leader="dot" w:pos="8306"/>
          <w:tab w:val="clear" w:pos="8296"/>
        </w:tabs>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_Toc7254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_Toc7254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cs="Times New Roman"/>
          <w:highlight w:val="none"/>
        </w:rPr>
        <w:t>●</w:t>
      </w: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_Toc21874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highlight w:val="none"/>
          <w:lang w:val="en-US" w:eastAsia="zh-CN"/>
        </w:rPr>
        <w:t>我市以绿色金融改革撬动金融加快回归实体成效初显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_Toc21874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5"/>
        <w:pageBreakBefore w:val="0"/>
        <w:tabs>
          <w:tab w:val="right" w:leader="dot" w:pos="8306"/>
          <w:tab w:val="clear" w:pos="8296"/>
        </w:tabs>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_Toc21072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【金融机构】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_Toc21072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_Toc337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●建行湖州分行实行绿色贷款利率浮动优惠制度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_Toc337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_Toc26864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邮储银行湖州市发放首笔小企业“船舶贷”</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_Toc26864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_Toc25571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湖州银行“快捷贷”零跑次助力乡村振兴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_Toc25571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6"/>
        <w:pageBreakBefore w:val="0"/>
        <w:tabs>
          <w:tab w:val="right" w:leader="dot" w:pos="8306"/>
          <w:tab w:val="clear" w:pos="8296"/>
        </w:tabs>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_Toc28299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安吉农商行发放首笔公益林补偿收益权质押贷款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_Toc28299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5"/>
        <w:pageBreakBefore w:val="0"/>
        <w:tabs>
          <w:tab w:val="right" w:leader="dot" w:pos="8306"/>
          <w:tab w:val="clear" w:pos="8296"/>
        </w:tabs>
        <w:kinsoku/>
        <w:wordWrap/>
        <w:overflowPunct/>
        <w:topLinePunct w:val="0"/>
        <w:autoSpaceDE/>
        <w:autoSpaceDN/>
        <w:bidi w:val="0"/>
        <w:adjustRightInd/>
        <w:snapToGrid/>
        <w:spacing w:line="480" w:lineRule="exact"/>
        <w:textAlignment w:val="auto"/>
        <w:rPr>
          <w:rFonts w:hint="default" w:ascii="Times New Roman" w:hAnsi="Times New Roman" w:cs="Times New Roman"/>
        </w:rPr>
      </w:pPr>
      <w:r>
        <w:rPr>
          <w:rFonts w:hint="default" w:ascii="Times New Roman" w:hAnsi="Times New Roman" w:eastAsia="仿宋_GB2312" w:cs="Times New Roman"/>
          <w:color w:val="auto"/>
          <w:szCs w:val="44"/>
          <w:lang w:val="zh-CN"/>
        </w:rPr>
        <w:fldChar w:fldCharType="begin"/>
      </w:r>
      <w:r>
        <w:rPr>
          <w:rFonts w:hint="default" w:ascii="Times New Roman" w:hAnsi="Times New Roman" w:eastAsia="仿宋_GB2312" w:cs="Times New Roman"/>
          <w:szCs w:val="44"/>
          <w:lang w:val="zh-CN"/>
        </w:rPr>
        <w:instrText xml:space="preserve"> HYPERLINK \l _Toc26941 </w:instrText>
      </w:r>
      <w:r>
        <w:rPr>
          <w:rFonts w:hint="default" w:ascii="Times New Roman" w:hAnsi="Times New Roman" w:eastAsia="仿宋_GB2312" w:cs="Times New Roman"/>
          <w:szCs w:val="44"/>
          <w:lang w:val="zh-CN"/>
        </w:rPr>
        <w:fldChar w:fldCharType="separate"/>
      </w:r>
      <w:r>
        <w:rPr>
          <w:rFonts w:hint="default" w:ascii="Times New Roman" w:hAnsi="Times New Roman" w:cs="Times New Roman"/>
        </w:rPr>
        <w:t>【</w:t>
      </w:r>
      <w:r>
        <w:rPr>
          <w:rFonts w:hint="default" w:ascii="Times New Roman" w:hAnsi="Times New Roman" w:cs="Times New Roman"/>
          <w:lang w:val="en-US" w:eastAsia="zh-CN"/>
        </w:rPr>
        <w:t>政务信息工作</w:t>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_Toc26941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_GB2312" w:cs="Times New Roman"/>
          <w:color w:val="auto"/>
          <w:szCs w:val="44"/>
          <w:lang w:val="zh-CN"/>
        </w:rPr>
        <w:fldChar w:fldCharType="end"/>
      </w:r>
    </w:p>
    <w:p>
      <w:pPr>
        <w:pStyle w:val="11"/>
        <w:pageBreakBefore w:val="0"/>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Cs w:val="44"/>
          <w:lang w:val="zh-CN"/>
        </w:rPr>
        <w:fldChar w:fldCharType="end"/>
      </w:r>
      <w:r>
        <w:rPr>
          <w:rFonts w:hint="default" w:ascii="Times New Roman" w:hAnsi="Times New Roman" w:eastAsia="仿宋_GB2312" w:cs="Times New Roman"/>
          <w:b w:val="0"/>
          <w:color w:val="auto"/>
          <w:sz w:val="44"/>
          <w:szCs w:val="44"/>
          <w:lang w:val="zh-CN"/>
        </w:rPr>
        <w:br w:type="page"/>
      </w:r>
      <w:bookmarkStart w:id="0" w:name="_Toc5397"/>
      <w:bookmarkStart w:id="1" w:name="_Toc21528"/>
      <w:bookmarkStart w:id="2" w:name="_Toc12080"/>
      <w:bookmarkStart w:id="3" w:name="_Toc958"/>
      <w:bookmarkStart w:id="4" w:name="_Toc3266"/>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rPr>
          <w:rFonts w:hint="default" w:ascii="Times New Roman" w:hAnsi="Times New Roman" w:cs="Times New Roman"/>
          <w:b w:val="0"/>
        </w:rPr>
      </w:pPr>
      <w:bookmarkStart w:id="5" w:name="_Toc22019"/>
      <w:bookmarkStart w:id="6" w:name="_Toc11124"/>
      <w:r>
        <w:rPr>
          <w:rFonts w:hint="default" w:ascii="Times New Roman" w:hAnsi="Times New Roman" w:cs="Times New Roman"/>
          <w:b w:val="0"/>
        </w:rPr>
        <w:t>【金融</w:t>
      </w:r>
      <w:r>
        <w:rPr>
          <w:rFonts w:hint="default" w:ascii="Times New Roman" w:hAnsi="Times New Roman" w:cs="Times New Roman"/>
          <w:b w:val="0"/>
          <w:lang w:eastAsia="zh-CN"/>
        </w:rPr>
        <w:t>动态</w:t>
      </w:r>
      <w:r>
        <w:rPr>
          <w:rFonts w:hint="default" w:ascii="Times New Roman" w:hAnsi="Times New Roman" w:cs="Times New Roman"/>
          <w:b w:val="0"/>
        </w:rPr>
        <w:t>】</w:t>
      </w:r>
      <w:bookmarkEnd w:id="5"/>
    </w:p>
    <w:p>
      <w:pPr>
        <w:keepNext w:val="0"/>
        <w:keepLines w:val="0"/>
        <w:pageBreakBefore w:val="0"/>
        <w:kinsoku/>
        <w:wordWrap/>
        <w:overflowPunct/>
        <w:topLinePunct w:val="0"/>
        <w:autoSpaceDN/>
        <w:bidi w:val="0"/>
        <w:adjustRightInd/>
        <w:snapToGrid/>
        <w:spacing w:line="520" w:lineRule="exact"/>
        <w:ind w:right="0" w:rightChars="0"/>
        <w:jc w:val="both"/>
        <w:textAlignment w:val="auto"/>
        <w:rPr>
          <w:rFonts w:hint="default" w:ascii="Times New Roman" w:hAnsi="Times New Roman" w:cs="Times New Roman"/>
          <w:szCs w:val="30"/>
          <w:lang w:val="en-US" w:eastAsia="zh-CN"/>
        </w:rPr>
      </w:pPr>
      <w:bookmarkStart w:id="7" w:name="_Toc22127"/>
      <w:r>
        <w:rPr>
          <w:rStyle w:val="10"/>
          <w:rFonts w:hint="default" w:ascii="Times New Roman" w:hAnsi="Times New Roman" w:cs="Times New Roman"/>
        </w:rPr>
        <w:t>●市政协副主席方新旗、叶理中一行赴市金融办调研督办金融重点工作推进情况</w:t>
      </w:r>
      <w:bookmarkEnd w:id="7"/>
      <w:r>
        <w:rPr>
          <w:rFonts w:hint="default" w:ascii="Times New Roman" w:hAnsi="Times New Roman" w:cs="Times New Roman"/>
          <w:b/>
          <w:bCs/>
          <w:szCs w:val="30"/>
          <w:lang w:val="en-US" w:eastAsia="zh-CN"/>
        </w:rPr>
        <w:t>。</w:t>
      </w:r>
      <w:r>
        <w:rPr>
          <w:rFonts w:hint="default" w:ascii="Times New Roman" w:hAnsi="Times New Roman" w:cs="Times New Roman"/>
          <w:szCs w:val="30"/>
          <w:lang w:val="en-US" w:eastAsia="zh-CN"/>
        </w:rPr>
        <w:t>根据市政协联系督办市政府50项具体工作清单，8月1日，市政协副主席方新旗、叶理中一行来到市金融办，就企业股改上市、小微企业融资、金融风险监测防控系统部署和绿色金融改革创新试验区建设工作情况开展调研。市金融办主任钱洪文就我市当前面上金融运行情况、重点工作推进情况、面临的困难以及下一步工作举措作了汇报。</w:t>
      </w:r>
    </w:p>
    <w:p>
      <w:pPr>
        <w:keepNext w:val="0"/>
        <w:keepLines w:val="0"/>
        <w:pageBreakBefore w:val="0"/>
        <w:kinsoku/>
        <w:wordWrap/>
        <w:overflowPunct/>
        <w:topLinePunct w:val="0"/>
        <w:autoSpaceDN/>
        <w:bidi w:val="0"/>
        <w:adjustRightInd/>
        <w:snapToGrid/>
        <w:spacing w:line="520" w:lineRule="exact"/>
        <w:ind w:right="0" w:rightChars="0"/>
        <w:jc w:val="both"/>
        <w:textAlignment w:val="auto"/>
        <w:rPr>
          <w:rFonts w:hint="default" w:ascii="Times New Roman" w:hAnsi="Times New Roman" w:cs="Times New Roman"/>
          <w:szCs w:val="30"/>
          <w:lang w:val="en-US" w:eastAsia="zh-CN"/>
        </w:rPr>
      </w:pPr>
      <w:r>
        <w:rPr>
          <w:rFonts w:hint="default" w:ascii="Times New Roman" w:hAnsi="Times New Roman" w:cs="Times New Roman"/>
          <w:szCs w:val="30"/>
          <w:lang w:val="en-US" w:eastAsia="zh-CN"/>
        </w:rPr>
        <w:t>在听取汇报后，市政协领导充分肯定了全市金融工作取得的成绩，指出市金融办工作积极主动、推进有力、成效明显。对于下阶段重点工作，方新旗副主席指出，股改上市是企业实现直接融资的重要渠道，也是规范企业管理、实现企业壮大的重要途径，要按照既定规划做好企业后备培育和股改规范工作，有计划、有步骤的推进企业上市；绿贷通平台是解决小微企业融资难问题的重要创新举措，要坚持平台服务小微的定位，在总结试点经验的基础上向全市面上推广；防范和化解金融风险是当前和未来一个时期金融工作的重点，要加强对新型金融产品、工具和模式的研究，监测存量风险演变，做好风险防范预警工作。</w:t>
      </w:r>
    </w:p>
    <w:p>
      <w:pPr>
        <w:keepNext w:val="0"/>
        <w:keepLines w:val="0"/>
        <w:pageBreakBefore w:val="0"/>
        <w:kinsoku/>
        <w:wordWrap/>
        <w:overflowPunct/>
        <w:topLinePunct w:val="0"/>
        <w:autoSpaceDN/>
        <w:bidi w:val="0"/>
        <w:adjustRightInd/>
        <w:snapToGrid/>
        <w:spacing w:line="520" w:lineRule="exact"/>
        <w:ind w:right="0" w:rightChars="0"/>
        <w:jc w:val="both"/>
        <w:textAlignment w:val="auto"/>
        <w:rPr>
          <w:rFonts w:hint="default" w:ascii="Times New Roman" w:hAnsi="Times New Roman" w:cs="Times New Roman"/>
          <w:szCs w:val="30"/>
          <w:lang w:val="en-US" w:eastAsia="zh-CN"/>
        </w:rPr>
      </w:pPr>
      <w:r>
        <w:rPr>
          <w:rFonts w:hint="default" w:ascii="Times New Roman" w:hAnsi="Times New Roman" w:cs="Times New Roman"/>
          <w:szCs w:val="30"/>
          <w:lang w:val="en-US" w:eastAsia="zh-CN"/>
        </w:rPr>
        <w:t>叶理中副主席指出，下半年金融工作任务不轻、压力不小，要精准对标，明确目标任务清单，认真做好经济金融形势分析研判；要精细安排，明确下一步工作时间表、路线图；要精心推进，在支持我市产业绿色发展、完善投融资体系建设、开展绿色企业（项目）评价等方面进一步加强研究，及时高质量完成下一阶段工作。</w:t>
      </w:r>
    </w:p>
    <w:p>
      <w:pPr>
        <w:keepNext w:val="0"/>
        <w:keepLines w:val="0"/>
        <w:pageBreakBefore w:val="0"/>
        <w:kinsoku/>
        <w:wordWrap/>
        <w:overflowPunct/>
        <w:topLinePunct w:val="0"/>
        <w:autoSpaceDN/>
        <w:bidi w:val="0"/>
        <w:adjustRightInd/>
        <w:snapToGrid/>
        <w:spacing w:line="520" w:lineRule="exact"/>
        <w:ind w:right="0" w:rightChars="0" w:firstLine="7500" w:firstLineChars="2500"/>
        <w:jc w:val="both"/>
        <w:textAlignment w:val="auto"/>
        <w:rPr>
          <w:rFonts w:hint="default" w:ascii="Times New Roman" w:hAnsi="Times New Roman" w:cs="Times New Roman"/>
          <w:szCs w:val="30"/>
          <w:lang w:val="en-US" w:eastAsia="zh-CN"/>
        </w:rPr>
      </w:pPr>
      <w:r>
        <w:rPr>
          <w:rFonts w:hint="default" w:ascii="Times New Roman" w:hAnsi="Times New Roman" w:cs="Times New Roman"/>
          <w:szCs w:val="30"/>
          <w:lang w:val="en-US" w:eastAsia="zh-CN"/>
        </w:rPr>
        <w:t xml:space="preserve">（综合处）                                           </w:t>
      </w:r>
    </w:p>
    <w:p>
      <w:pPr>
        <w:keepNext w:val="0"/>
        <w:keepLines w:val="0"/>
        <w:pageBreakBefore w:val="0"/>
        <w:kinsoku/>
        <w:wordWrap/>
        <w:overflowPunct/>
        <w:topLinePunct w:val="0"/>
        <w:autoSpaceDN/>
        <w:bidi w:val="0"/>
        <w:adjustRightInd/>
        <w:snapToGrid/>
        <w:spacing w:line="520" w:lineRule="exact"/>
        <w:ind w:firstLine="600" w:firstLineChars="200"/>
        <w:textAlignment w:val="auto"/>
        <w:rPr>
          <w:rFonts w:hint="default" w:ascii="Times New Roman" w:hAnsi="Times New Roman" w:cs="Times New Roman"/>
          <w:spacing w:val="-8"/>
          <w:kern w:val="0"/>
          <w:sz w:val="30"/>
          <w:szCs w:val="30"/>
          <w:lang w:val="en-US" w:eastAsia="zh-CN"/>
        </w:rPr>
      </w:pPr>
      <w:bookmarkStart w:id="8" w:name="_Toc27168"/>
      <w:r>
        <w:rPr>
          <w:rStyle w:val="10"/>
          <w:rFonts w:hint="default" w:ascii="Times New Roman" w:hAnsi="Times New Roman" w:cs="Times New Roman"/>
          <w:highlight w:val="none"/>
        </w:rPr>
        <w:t>●</w:t>
      </w:r>
      <w:r>
        <w:rPr>
          <w:rStyle w:val="10"/>
          <w:rFonts w:hint="default" w:ascii="Times New Roman" w:hAnsi="Times New Roman" w:cs="Times New Roman"/>
          <w:highlight w:val="none"/>
          <w:lang w:val="en-US" w:eastAsia="zh-CN"/>
        </w:rPr>
        <w:t>吴兴区三举措强化防范和化解地方金融风险</w:t>
      </w:r>
      <w:bookmarkEnd w:id="8"/>
      <w:r>
        <w:rPr>
          <w:rFonts w:hint="default" w:ascii="Times New Roman" w:hAnsi="Times New Roman" w:cs="Times New Roman"/>
          <w:b/>
          <w:bCs w:val="0"/>
          <w:sz w:val="30"/>
          <w:szCs w:val="30"/>
          <w:lang w:val="en-US" w:eastAsia="zh-CN"/>
        </w:rPr>
        <w:t>。</w:t>
      </w:r>
      <w:r>
        <w:rPr>
          <w:rFonts w:hint="default" w:ascii="Times New Roman" w:hAnsi="Times New Roman" w:cs="Times New Roman"/>
          <w:spacing w:val="-8"/>
          <w:kern w:val="0"/>
          <w:sz w:val="30"/>
          <w:szCs w:val="30"/>
          <w:lang w:val="en-US" w:eastAsia="zh-CN"/>
        </w:rPr>
        <w:t>为有效防范和化解地方金融风险，吴兴区采取事前排摸，事中核实，事后整治等多项举措，明确责任，狠抓落实，积极打好防范金融领域系统性风险三年专项整治工作开局之仗。</w:t>
      </w:r>
      <w:r>
        <w:rPr>
          <w:rFonts w:hint="default" w:ascii="Times New Roman" w:hAnsi="Times New Roman" w:cs="Times New Roman"/>
          <w:b/>
          <w:bCs/>
          <w:spacing w:val="-8"/>
          <w:kern w:val="0"/>
          <w:sz w:val="30"/>
          <w:szCs w:val="30"/>
          <w:lang w:val="en-US" w:eastAsia="zh-CN"/>
        </w:rPr>
        <w:t>一是长效机制网格化。</w:t>
      </w:r>
      <w:r>
        <w:rPr>
          <w:rFonts w:hint="default" w:ascii="Times New Roman" w:hAnsi="Times New Roman" w:cs="Times New Roman"/>
          <w:spacing w:val="-8"/>
          <w:kern w:val="0"/>
          <w:sz w:val="30"/>
          <w:szCs w:val="30"/>
          <w:lang w:val="en-US" w:eastAsia="zh-CN"/>
        </w:rPr>
        <w:t>按照“网格划分科学化，金融监管无缝化”要求，建立区、乡镇（街道）和网格（村/社区）三个应用层级组成的立体化排查和监测预警网络，在全区各网格（村/社区）均明确地方金融风险监管网格员，负责属地金融风险排查监管工作，实现地方金融监管源头管控。</w:t>
      </w:r>
      <w:r>
        <w:rPr>
          <w:rFonts w:hint="default" w:ascii="Times New Roman" w:hAnsi="Times New Roman" w:cs="Times New Roman"/>
          <w:b/>
          <w:bCs/>
          <w:spacing w:val="-8"/>
          <w:kern w:val="0"/>
          <w:sz w:val="30"/>
          <w:szCs w:val="30"/>
          <w:lang w:val="en-US" w:eastAsia="zh-CN"/>
        </w:rPr>
        <w:t>二是风险防范常态化。</w:t>
      </w:r>
      <w:r>
        <w:rPr>
          <w:rFonts w:hint="default" w:ascii="Times New Roman" w:hAnsi="Times New Roman" w:cs="Times New Roman"/>
          <w:spacing w:val="-8"/>
          <w:kern w:val="0"/>
          <w:sz w:val="30"/>
          <w:szCs w:val="30"/>
          <w:lang w:val="en-US" w:eastAsia="zh-CN"/>
        </w:rPr>
        <w:t>对于投资类、金融类企业由金融办和市场监督管理局建立联合审批机制，先由乡镇街道排摸底细，然后由金融办进行专业化审查，最后进行工商注册，层层联动，严格把关。分批组织对全区网格长进行培训，加强对金融风险的学习与识别，同时网格员全体出动走访排查区内的金融类风险机构，并积极开展金融风险宣传教育活动。</w:t>
      </w:r>
      <w:r>
        <w:rPr>
          <w:rFonts w:hint="default" w:ascii="Times New Roman" w:hAnsi="Times New Roman" w:cs="Times New Roman"/>
          <w:b/>
          <w:bCs/>
          <w:spacing w:val="-8"/>
          <w:kern w:val="0"/>
          <w:sz w:val="30"/>
          <w:szCs w:val="30"/>
          <w:lang w:val="en-US" w:eastAsia="zh-CN"/>
        </w:rPr>
        <w:t>三是联合检查专项化。</w:t>
      </w:r>
      <w:r>
        <w:rPr>
          <w:rFonts w:hint="default" w:ascii="Times New Roman" w:hAnsi="Times New Roman" w:cs="Times New Roman"/>
          <w:spacing w:val="-8"/>
          <w:kern w:val="0"/>
          <w:sz w:val="30"/>
          <w:szCs w:val="30"/>
          <w:lang w:val="en-US" w:eastAsia="zh-CN"/>
        </w:rPr>
        <w:t>联合市金融办、公安局、市场监管局、人行、银监等相关部门，积极开展金融风险专项整治行动，有力推进金融风险排查处置，切实保护人民群众财产安全，努力营造良好氛围。                                  （吴兴区金融办）</w:t>
      </w:r>
    </w:p>
    <w:p>
      <w:pPr>
        <w:keepNext w:val="0"/>
        <w:keepLines w:val="0"/>
        <w:pageBreakBefore w:val="0"/>
        <w:kinsoku/>
        <w:wordWrap/>
        <w:overflowPunct/>
        <w:topLinePunct w:val="0"/>
        <w:autoSpaceDE w:val="0"/>
        <w:autoSpaceDN/>
        <w:bidi w:val="0"/>
        <w:adjustRightInd/>
        <w:snapToGrid/>
        <w:spacing w:beforeAutospacing="0" w:afterAutospacing="0" w:line="520" w:lineRule="exact"/>
        <w:ind w:right="0" w:rightChars="0"/>
        <w:jc w:val="both"/>
        <w:textAlignment w:val="auto"/>
        <w:rPr>
          <w:rFonts w:hint="default" w:ascii="Times New Roman" w:hAnsi="Times New Roman" w:eastAsia="仿宋_GB2312" w:cs="Times New Roman"/>
          <w:bCs/>
          <w:sz w:val="30"/>
          <w:szCs w:val="30"/>
        </w:rPr>
      </w:pPr>
      <w:bookmarkStart w:id="9" w:name="_Toc16667"/>
      <w:bookmarkStart w:id="10" w:name="_Toc15132"/>
      <w:bookmarkStart w:id="11" w:name="_Toc29550"/>
      <w:bookmarkStart w:id="12" w:name="_Toc20325"/>
      <w:r>
        <w:rPr>
          <w:rStyle w:val="10"/>
          <w:rFonts w:hint="default" w:ascii="Times New Roman" w:hAnsi="Times New Roman" w:cs="Times New Roman"/>
          <w:highlight w:val="none"/>
        </w:rPr>
        <w:t>●</w:t>
      </w:r>
      <w:r>
        <w:rPr>
          <w:rStyle w:val="10"/>
          <w:rFonts w:hint="default" w:ascii="Times New Roman" w:hAnsi="Times New Roman" w:cs="Times New Roman"/>
          <w:highlight w:val="none"/>
          <w:lang w:val="en-US" w:eastAsia="zh-CN"/>
        </w:rPr>
        <w:t>南浔区全省率先推行跑道鱼渔业养殖保险</w:t>
      </w:r>
      <w:bookmarkEnd w:id="9"/>
      <w:bookmarkEnd w:id="10"/>
      <w:bookmarkEnd w:id="11"/>
      <w:bookmarkEnd w:id="12"/>
      <w:r>
        <w:rPr>
          <w:rFonts w:hint="default" w:ascii="Times New Roman" w:hAnsi="Times New Roman" w:cs="Times New Roman"/>
          <w:b/>
          <w:bCs w:val="0"/>
          <w:sz w:val="30"/>
          <w:szCs w:val="30"/>
          <w:lang w:val="en-US" w:eastAsia="zh-CN"/>
        </w:rPr>
        <w:t>。</w:t>
      </w:r>
      <w:r>
        <w:rPr>
          <w:rFonts w:hint="default" w:ascii="Times New Roman" w:hAnsi="Times New Roman" w:cs="Times New Roman"/>
          <w:bCs/>
          <w:sz w:val="30"/>
          <w:szCs w:val="30"/>
          <w:lang w:val="en-US" w:eastAsia="zh-CN"/>
        </w:rPr>
        <w:t xml:space="preserve">2018年6月，南浔区政策性农险办出台了淡水养鱼保险新的补贴政策。将原来省、市、区三级财政补贴60%、农户自负40%，调整为省、市、区财政补贴90%、农户只需自负10%，农户每亩只需自负61.5元。这一政策性保险优先向跑道鱼等先进、环保的水产养殖模式上进行倾斜，此项政策的出台将进一步减轻养殖户的负担，受到了农民朋友的广泛欢迎，截至推出一个月时间，南浔区政策性淡水养鱼保险承保848.4亩，其中“跑道”养鱼承保“跑道”27条，“跑道”养鱼的顺利承保实现了全省此项新技术模式政策性保险保障零的突破，大大促进南浔区淡水养鱼运用新技术的发展，有利于农业面源污染治理和渔业转型升级发展。                     </w:t>
      </w:r>
      <w:r>
        <w:rPr>
          <w:rFonts w:hint="eastAsia" w:ascii="Times New Roman" w:hAnsi="Times New Roman" w:cs="Times New Roman"/>
          <w:bCs/>
          <w:sz w:val="30"/>
          <w:szCs w:val="30"/>
          <w:lang w:val="en-US" w:eastAsia="zh-CN"/>
        </w:rPr>
        <w:t xml:space="preserve">  </w:t>
      </w:r>
      <w:r>
        <w:rPr>
          <w:rFonts w:hint="default" w:ascii="Times New Roman" w:hAnsi="Times New Roman" w:cs="Times New Roman"/>
          <w:bCs/>
          <w:sz w:val="30"/>
          <w:szCs w:val="30"/>
          <w:lang w:val="en-US" w:eastAsia="zh-CN"/>
        </w:rPr>
        <w:t xml:space="preserve">      </w:t>
      </w:r>
      <w:r>
        <w:rPr>
          <w:rFonts w:hint="default" w:ascii="Times New Roman" w:hAnsi="Times New Roman" w:eastAsia="仿宋_GB2312" w:cs="Times New Roman"/>
          <w:bCs/>
          <w:sz w:val="30"/>
          <w:szCs w:val="30"/>
          <w:lang w:val="en-US" w:eastAsia="zh-CN"/>
        </w:rPr>
        <w:t>（</w:t>
      </w:r>
      <w:r>
        <w:rPr>
          <w:rFonts w:hint="default" w:ascii="Times New Roman" w:hAnsi="Times New Roman" w:cs="Times New Roman"/>
          <w:bCs/>
          <w:sz w:val="30"/>
          <w:szCs w:val="30"/>
          <w:lang w:val="en-US" w:eastAsia="zh-CN"/>
        </w:rPr>
        <w:t>南浔区</w:t>
      </w:r>
      <w:r>
        <w:rPr>
          <w:rFonts w:hint="default" w:ascii="Times New Roman" w:hAnsi="Times New Roman" w:eastAsia="仿宋_GB2312" w:cs="Times New Roman"/>
          <w:bCs/>
          <w:sz w:val="30"/>
          <w:szCs w:val="30"/>
          <w:lang w:val="en-US" w:eastAsia="zh-CN"/>
        </w:rPr>
        <w:t>金融办）</w:t>
      </w:r>
    </w:p>
    <w:p>
      <w:pPr>
        <w:keepNext w:val="0"/>
        <w:keepLines w:val="0"/>
        <w:pageBreakBefore w:val="0"/>
        <w:kinsoku/>
        <w:wordWrap/>
        <w:overflowPunct/>
        <w:topLinePunct w:val="0"/>
        <w:autoSpaceDE w:val="0"/>
        <w:autoSpaceDN/>
        <w:bidi w:val="0"/>
        <w:adjustRightInd/>
        <w:snapToGrid/>
        <w:spacing w:beforeAutospacing="0" w:afterAutospacing="0" w:line="520" w:lineRule="exact"/>
        <w:ind w:left="0" w:leftChars="0" w:right="0" w:rightChars="0" w:firstLine="600" w:firstLineChars="200"/>
        <w:jc w:val="both"/>
        <w:textAlignment w:val="auto"/>
        <w:rPr>
          <w:rFonts w:hint="default" w:ascii="Times New Roman" w:hAnsi="Times New Roman" w:cs="Times New Roman"/>
          <w:lang w:val="en-US" w:eastAsia="zh-CN"/>
        </w:rPr>
      </w:pPr>
      <w:bookmarkStart w:id="13" w:name="_Toc814"/>
      <w:r>
        <w:rPr>
          <w:rStyle w:val="10"/>
          <w:rFonts w:hint="default" w:ascii="Times New Roman" w:hAnsi="Times New Roman" w:cs="Times New Roman"/>
          <w:highlight w:val="none"/>
        </w:rPr>
        <w:t>●安吉县优化银行开户服务助力“最多跑一次”</w:t>
      </w:r>
      <w:bookmarkEnd w:id="13"/>
      <w:r>
        <w:rPr>
          <w:rFonts w:hint="default" w:ascii="Times New Roman" w:hAnsi="Times New Roman" w:cs="Times New Roman"/>
          <w:b/>
          <w:bCs/>
          <w:lang w:val="en-US" w:eastAsia="zh-CN"/>
        </w:rPr>
        <w:t>。</w:t>
      </w:r>
      <w:r>
        <w:rPr>
          <w:rFonts w:hint="default" w:ascii="Times New Roman" w:hAnsi="Times New Roman" w:cs="Times New Roman"/>
          <w:lang w:val="en-US" w:eastAsia="zh-CN"/>
        </w:rPr>
        <w:t>为优化企业开户服务，</w:t>
      </w:r>
      <w:r>
        <w:rPr>
          <w:rFonts w:hint="eastAsia" w:cs="Times New Roman"/>
          <w:lang w:val="en-US" w:eastAsia="zh-CN"/>
        </w:rPr>
        <w:t>安吉县金融机构</w:t>
      </w:r>
      <w:r>
        <w:rPr>
          <w:rFonts w:hint="default" w:ascii="Times New Roman" w:hAnsi="Times New Roman" w:cs="Times New Roman"/>
          <w:lang w:val="en-US" w:eastAsia="zh-CN"/>
        </w:rPr>
        <w:t>积极通过银行代办服务、预约开户服务全面落实新设企业登记“就近办、网上办、联合办”，压缩开办时间，保证客户信息安全。今年，安吉县已有46家银行网点推出“工商注册通”服务。即拟申请注册企业经办人向该行代办网点提出工商注册登记代办申请，代办网点对公柜台为申请企业在“浙江省全程电子化登记平台”完成名称自主申报、设立网上申请及证照联办申请等一系列操作，工商注册登记代办，让企业在家门口就可以办理工商注册申请，进一步深化了商事登记领域“最多跑一次”改革。截至目前，已办理了135笔业务，大大节约了客户的时间成本</w:t>
      </w:r>
      <w:r>
        <w:rPr>
          <w:rFonts w:hint="eastAsia" w:cs="Times New Roman"/>
          <w:lang w:val="en-US" w:eastAsia="zh-CN"/>
        </w:rPr>
        <w:t>。</w:t>
      </w:r>
      <w:r>
        <w:rPr>
          <w:rFonts w:hint="default" w:ascii="Times New Roman" w:hAnsi="Times New Roman" w:cs="Times New Roman"/>
          <w:lang w:val="en-US" w:eastAsia="zh-CN"/>
        </w:rPr>
        <w:t xml:space="preserve"> </w:t>
      </w:r>
      <w:r>
        <w:rPr>
          <w:rFonts w:hint="default" w:ascii="Times New Roman" w:hAnsi="Times New Roman" w:eastAsia="仿宋_GB2312" w:cs="Times New Roman"/>
          <w:bCs/>
          <w:sz w:val="30"/>
          <w:szCs w:val="30"/>
          <w:lang w:val="en-US" w:eastAsia="zh-CN"/>
        </w:rPr>
        <w:t>（</w:t>
      </w:r>
      <w:r>
        <w:rPr>
          <w:rFonts w:hint="default" w:ascii="Times New Roman" w:hAnsi="Times New Roman" w:cs="Times New Roman"/>
          <w:bCs/>
          <w:sz w:val="30"/>
          <w:szCs w:val="30"/>
          <w:lang w:val="en-US" w:eastAsia="zh-CN"/>
        </w:rPr>
        <w:t>安吉县</w:t>
      </w:r>
      <w:r>
        <w:rPr>
          <w:rFonts w:hint="default" w:ascii="Times New Roman" w:hAnsi="Times New Roman" w:eastAsia="仿宋_GB2312" w:cs="Times New Roman"/>
          <w:bCs/>
          <w:sz w:val="30"/>
          <w:szCs w:val="30"/>
          <w:lang w:val="en-US" w:eastAsia="zh-CN"/>
        </w:rPr>
        <w:t>金融办）</w:t>
      </w:r>
    </w:p>
    <w:p>
      <w:pPr>
        <w:keepNext w:val="0"/>
        <w:keepLines w:val="0"/>
        <w:pageBreakBefore w:val="0"/>
        <w:kinsoku/>
        <w:wordWrap/>
        <w:overflowPunct/>
        <w:topLinePunct w:val="0"/>
        <w:autoSpaceDE w:val="0"/>
        <w:autoSpaceDN/>
        <w:bidi w:val="0"/>
        <w:adjustRightInd/>
        <w:snapToGrid/>
        <w:spacing w:beforeAutospacing="0" w:afterAutospacing="0" w:line="520" w:lineRule="exact"/>
        <w:ind w:right="0" w:rightChars="0" w:firstLine="6000" w:firstLineChars="2000"/>
        <w:jc w:val="both"/>
        <w:textAlignment w:val="auto"/>
        <w:rPr>
          <w:rFonts w:hint="default" w:ascii="Times New Roman" w:hAnsi="Times New Roman" w:eastAsia="仿宋_GB2312" w:cs="Times New Roman"/>
          <w:bCs/>
          <w:sz w:val="30"/>
          <w:szCs w:val="30"/>
          <w:lang w:val="en-US" w:eastAsia="zh-CN"/>
        </w:rPr>
      </w:pPr>
    </w:p>
    <w:p>
      <w:pPr>
        <w:keepNext w:val="0"/>
        <w:keepLines w:val="0"/>
        <w:pageBreakBefore w:val="0"/>
        <w:kinsoku/>
        <w:wordWrap/>
        <w:overflowPunct/>
        <w:topLinePunct w:val="0"/>
        <w:autoSpaceDE w:val="0"/>
        <w:autoSpaceDN/>
        <w:bidi w:val="0"/>
        <w:adjustRightInd/>
        <w:snapToGrid/>
        <w:spacing w:beforeAutospacing="0" w:afterAutospacing="0" w:line="520" w:lineRule="exact"/>
        <w:ind w:right="0" w:rightChars="0"/>
        <w:jc w:val="both"/>
        <w:textAlignment w:val="auto"/>
        <w:rPr>
          <w:rFonts w:hint="default" w:ascii="Times New Roman" w:hAnsi="Times New Roman" w:eastAsia="仿宋_GB2312" w:cs="Times New Roman"/>
          <w:bCs/>
          <w:sz w:val="30"/>
          <w:szCs w:val="30"/>
          <w:lang w:val="en-US" w:eastAsia="zh-CN"/>
        </w:rPr>
      </w:pPr>
    </w:p>
    <w:p>
      <w:pPr>
        <w:keepNext w:val="0"/>
        <w:keepLines w:val="0"/>
        <w:pageBreakBefore w:val="0"/>
        <w:kinsoku/>
        <w:wordWrap/>
        <w:overflowPunct/>
        <w:topLinePunct w:val="0"/>
        <w:autoSpaceDE w:val="0"/>
        <w:autoSpaceDN/>
        <w:bidi w:val="0"/>
        <w:adjustRightInd/>
        <w:snapToGrid/>
        <w:spacing w:beforeAutospacing="0" w:afterAutospacing="0" w:line="520" w:lineRule="exact"/>
        <w:ind w:left="0" w:leftChars="0" w:right="0" w:rightChars="0" w:firstLine="0" w:firstLineChars="0"/>
        <w:jc w:val="both"/>
        <w:textAlignment w:val="auto"/>
        <w:rPr>
          <w:rFonts w:hint="default" w:ascii="Times New Roman" w:hAnsi="Times New Roman" w:eastAsia="仿宋_GB2312" w:cs="Times New Roman"/>
          <w:bCs/>
          <w:sz w:val="30"/>
          <w:szCs w:val="30"/>
          <w:lang w:val="en-US" w:eastAsia="zh-CN"/>
        </w:rPr>
      </w:pPr>
    </w:p>
    <w:bookmarkEnd w:id="0"/>
    <w:bookmarkEnd w:id="1"/>
    <w:bookmarkEnd w:id="2"/>
    <w:bookmarkEnd w:id="3"/>
    <w:bookmarkEnd w:id="4"/>
    <w:bookmarkEnd w:id="6"/>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0"/>
        <w:rPr>
          <w:rFonts w:hint="default" w:ascii="Times New Roman" w:hAnsi="Times New Roman" w:cs="Times New Roman"/>
          <w:b w:val="0"/>
        </w:rPr>
      </w:pPr>
      <w:bookmarkStart w:id="14" w:name="_Toc18092"/>
      <w:bookmarkStart w:id="15" w:name="_Toc30079"/>
      <w:bookmarkStart w:id="16" w:name="_Toc966"/>
      <w:bookmarkStart w:id="17" w:name="_Toc32287"/>
      <w:bookmarkStart w:id="18" w:name="_Toc7187"/>
      <w:bookmarkStart w:id="19" w:name="_Toc5605"/>
      <w:bookmarkStart w:id="20" w:name="_Toc22383"/>
      <w:bookmarkStart w:id="21" w:name="_Toc24904"/>
      <w:bookmarkStart w:id="22" w:name="_Toc27929"/>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0"/>
        <w:rPr>
          <w:rFonts w:hint="default" w:ascii="Times New Roman" w:hAnsi="Times New Roman" w:eastAsia="仿宋_GB2312" w:cs="Times New Roman"/>
          <w:sz w:val="30"/>
          <w:szCs w:val="30"/>
          <w:lang w:val="en-US" w:eastAsia="zh-CN"/>
        </w:rPr>
      </w:pPr>
      <w:bookmarkStart w:id="23" w:name="_Toc7254"/>
      <w:r>
        <w:rPr>
          <w:rFonts w:hint="default" w:ascii="Times New Roman" w:hAnsi="Times New Roman" w:cs="Times New Roman"/>
          <w:b w:val="0"/>
        </w:rPr>
        <w:t>【金融发展】</w:t>
      </w:r>
      <w:bookmarkEnd w:id="23"/>
      <w:r>
        <w:rPr>
          <w:rFonts w:hint="default" w:ascii="Times New Roman" w:hAnsi="Times New Roman" w:eastAsia="仿宋_GB2312" w:cs="Times New Roman"/>
          <w:sz w:val="30"/>
          <w:szCs w:val="30"/>
          <w:lang w:val="en-US" w:eastAsia="zh-CN"/>
        </w:rPr>
        <w:t xml:space="preserve"> </w:t>
      </w:r>
    </w:p>
    <w:p>
      <w:pPr>
        <w:keepNext w:val="0"/>
        <w:keepLines w:val="0"/>
        <w:pageBreakBefore w:val="0"/>
        <w:kinsoku/>
        <w:wordWrap/>
        <w:overflowPunct/>
        <w:topLinePunct w:val="0"/>
        <w:autoSpaceDN/>
        <w:bidi w:val="0"/>
        <w:adjustRightInd/>
        <w:snapToGrid/>
        <w:spacing w:line="520" w:lineRule="exact"/>
        <w:ind w:firstLine="696" w:firstLineChars="200"/>
        <w:jc w:val="center"/>
        <w:textAlignment w:val="auto"/>
        <w:rPr>
          <w:rStyle w:val="10"/>
          <w:rFonts w:hint="default" w:ascii="Times New Roman" w:hAnsi="Times New Roman" w:cs="Times New Roman"/>
          <w:bCs/>
          <w:spacing w:val="-6"/>
          <w:sz w:val="36"/>
          <w:szCs w:val="36"/>
          <w:highlight w:val="none"/>
          <w:lang w:val="en-US" w:eastAsia="zh-CN"/>
        </w:rPr>
      </w:pPr>
      <w:bookmarkStart w:id="24" w:name="_Toc21874"/>
      <w:bookmarkStart w:id="25" w:name="_Toc25458"/>
      <w:bookmarkStart w:id="26" w:name="_Toc32026"/>
      <w:bookmarkStart w:id="27" w:name="_Toc10338"/>
    </w:p>
    <w:p>
      <w:pPr>
        <w:keepNext w:val="0"/>
        <w:keepLines w:val="0"/>
        <w:pageBreakBefore w:val="0"/>
        <w:kinsoku/>
        <w:wordWrap/>
        <w:overflowPunct/>
        <w:topLinePunct w:val="0"/>
        <w:autoSpaceDN/>
        <w:bidi w:val="0"/>
        <w:adjustRightInd/>
        <w:snapToGrid/>
        <w:spacing w:line="520" w:lineRule="exact"/>
        <w:ind w:firstLine="696" w:firstLineChars="200"/>
        <w:jc w:val="center"/>
        <w:textAlignment w:val="auto"/>
        <w:rPr>
          <w:rStyle w:val="10"/>
          <w:rFonts w:hint="default" w:ascii="Times New Roman" w:hAnsi="Times New Roman" w:cs="Times New Roman"/>
          <w:highlight w:val="none"/>
          <w:lang w:val="en-US" w:eastAsia="zh-CN"/>
        </w:rPr>
      </w:pPr>
      <w:r>
        <w:rPr>
          <w:rStyle w:val="10"/>
          <w:rFonts w:hint="default" w:ascii="Times New Roman" w:hAnsi="Times New Roman" w:cs="Times New Roman"/>
          <w:bCs/>
          <w:spacing w:val="-6"/>
          <w:sz w:val="36"/>
          <w:szCs w:val="36"/>
          <w:highlight w:val="none"/>
          <w:lang w:val="en-US" w:eastAsia="zh-CN"/>
        </w:rPr>
        <w:t>我市以绿色金融改革撬动金融加快回归实体成效初显</w:t>
      </w:r>
    </w:p>
    <w:bookmarkEnd w:id="24"/>
    <w:bookmarkEnd w:id="25"/>
    <w:bookmarkEnd w:id="26"/>
    <w:bookmarkEnd w:id="27"/>
    <w:p>
      <w:pPr>
        <w:keepNext w:val="0"/>
        <w:keepLines w:val="0"/>
        <w:pageBreakBefore w:val="0"/>
        <w:kinsoku/>
        <w:wordWrap/>
        <w:overflowPunct/>
        <w:topLinePunct w:val="0"/>
        <w:autoSpaceDN/>
        <w:bidi w:val="0"/>
        <w:adjustRightInd/>
        <w:snapToGrid/>
        <w:spacing w:line="520" w:lineRule="exact"/>
        <w:ind w:firstLine="2852" w:firstLineChars="1000"/>
        <w:textAlignment w:val="auto"/>
        <w:rPr>
          <w:rFonts w:hint="default" w:ascii="Times New Roman" w:hAnsi="Times New Roman" w:cs="Times New Roman"/>
          <w:b/>
          <w:bCs/>
          <w:spacing w:val="-8"/>
          <w:kern w:val="0"/>
          <w:sz w:val="30"/>
          <w:szCs w:val="30"/>
          <w:lang w:val="en-US" w:eastAsia="zh-CN"/>
        </w:rPr>
      </w:pPr>
      <w:r>
        <w:rPr>
          <w:rFonts w:hint="default" w:ascii="Times New Roman" w:hAnsi="Times New Roman" w:cs="Times New Roman"/>
          <w:b/>
          <w:bCs/>
          <w:spacing w:val="-8"/>
          <w:kern w:val="0"/>
          <w:sz w:val="30"/>
          <w:szCs w:val="30"/>
          <w:lang w:val="en-US" w:eastAsia="zh-CN"/>
        </w:rPr>
        <w:t xml:space="preserve">  </w:t>
      </w:r>
      <w:r>
        <w:rPr>
          <w:rFonts w:hint="default" w:ascii="Times New Roman" w:hAnsi="Times New Roman" w:cs="Times New Roman"/>
          <w:b w:val="0"/>
          <w:bCs w:val="0"/>
          <w:spacing w:val="-8"/>
          <w:kern w:val="0"/>
          <w:sz w:val="30"/>
          <w:szCs w:val="30"/>
          <w:lang w:val="en-US" w:eastAsia="zh-CN"/>
        </w:rPr>
        <w:t>— 制造业贷款五年来首次止跌回升</w:t>
      </w:r>
    </w:p>
    <w:p>
      <w:pPr>
        <w:keepNext w:val="0"/>
        <w:keepLines w:val="0"/>
        <w:pageBreakBefore w:val="0"/>
        <w:kinsoku/>
        <w:wordWrap/>
        <w:overflowPunct/>
        <w:topLinePunct w:val="0"/>
        <w:autoSpaceDN/>
        <w:bidi w:val="0"/>
        <w:adjustRightInd/>
        <w:snapToGrid/>
        <w:spacing w:line="520" w:lineRule="exact"/>
        <w:ind w:firstLine="568" w:firstLineChars="200"/>
        <w:textAlignment w:val="auto"/>
        <w:rPr>
          <w:rFonts w:hint="default" w:ascii="Times New Roman" w:hAnsi="Times New Roman" w:cs="Times New Roman"/>
          <w:spacing w:val="-8"/>
          <w:kern w:val="0"/>
          <w:sz w:val="30"/>
          <w:szCs w:val="30"/>
          <w:lang w:val="en-US" w:eastAsia="zh-CN"/>
        </w:rPr>
      </w:pPr>
    </w:p>
    <w:p>
      <w:pPr>
        <w:keepNext w:val="0"/>
        <w:keepLines w:val="0"/>
        <w:pageBreakBefore w:val="0"/>
        <w:kinsoku/>
        <w:wordWrap/>
        <w:overflowPunct/>
        <w:topLinePunct w:val="0"/>
        <w:autoSpaceDN/>
        <w:bidi w:val="0"/>
        <w:adjustRightInd/>
        <w:snapToGrid/>
        <w:spacing w:line="520" w:lineRule="exact"/>
        <w:ind w:firstLine="568"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cs="Times New Roman"/>
          <w:spacing w:val="-8"/>
          <w:kern w:val="0"/>
          <w:sz w:val="30"/>
          <w:szCs w:val="30"/>
          <w:lang w:val="en-US" w:eastAsia="zh-CN"/>
        </w:rPr>
        <w:t>我市以国家绿色金融改革创新试验区建设为契机，大力推进金融供给侧结构性改革，推动金融加快回归实体经济，助推“大湾区”“大花园”建设和绿色智造、乡村振兴等重点领域，取得了阶段性成效。截至6月末，制造业贷款5年来首次正增长，增速快于全省平均6.11个百分点；新增境内上市公司2家，居全省第2位。</w:t>
      </w:r>
    </w:p>
    <w:p>
      <w:pPr>
        <w:keepNext w:val="0"/>
        <w:keepLines w:val="0"/>
        <w:pageBreakBefore w:val="0"/>
        <w:kinsoku/>
        <w:wordWrap/>
        <w:overflowPunct/>
        <w:topLinePunct w:val="0"/>
        <w:autoSpaceDN/>
        <w:bidi w:val="0"/>
        <w:adjustRightInd/>
        <w:snapToGrid/>
        <w:spacing w:line="520" w:lineRule="exact"/>
        <w:ind w:firstLine="570"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eastAsia="楷体_GB2312" w:cs="Times New Roman"/>
          <w:b/>
          <w:bCs/>
          <w:spacing w:val="-8"/>
          <w:kern w:val="0"/>
          <w:sz w:val="30"/>
          <w:szCs w:val="30"/>
          <w:lang w:val="en-US" w:eastAsia="zh-CN"/>
        </w:rPr>
        <w:t>（一）精准做加法，扩大实体融资供给。</w:t>
      </w:r>
      <w:r>
        <w:rPr>
          <w:rFonts w:hint="default" w:ascii="Times New Roman" w:hAnsi="Times New Roman" w:cs="Times New Roman"/>
          <w:spacing w:val="-8"/>
          <w:kern w:val="0"/>
          <w:sz w:val="30"/>
          <w:szCs w:val="30"/>
          <w:lang w:val="en-US" w:eastAsia="zh-CN"/>
        </w:rPr>
        <w:t>通过深化政银战略合作、强化监管考核指导、畅通银企银项对接等措施，推动金融机构抢抓“中国制造2025”试点示范城市、绿色金融改革创新试验区、创新型试点城市等国家试点的政策机遇，以服务实体经济为导向，扩大融资总量、优化信贷投向，将更多的金融资源配置到实体企业。截至6月末，24家在湖分支行中，有11家银行信贷增量或增速居全省同系统前3位；全市银行机构贷款余额同比增长17.73%，增速居全省第2位；其中制造业贷款同比增长7.01%，自2014年以来首次正增长。比如农业银行湖州分行，上半年70%的新增贷款投向了实体经济，制造业贷款比年初增长15.42%。在精准扩大信贷投放的基础上，积极推动实体企业对接资本市场，拓展直接融资渠道。上半年，共有56家实体企业通过上市IPO、定向增发、私募股权、债券发行等直接融资渠道，募集资金56.36亿元。</w:t>
      </w:r>
    </w:p>
    <w:p>
      <w:pPr>
        <w:keepNext w:val="0"/>
        <w:keepLines w:val="0"/>
        <w:pageBreakBefore w:val="0"/>
        <w:kinsoku/>
        <w:wordWrap/>
        <w:overflowPunct/>
        <w:topLinePunct w:val="0"/>
        <w:autoSpaceDN/>
        <w:bidi w:val="0"/>
        <w:adjustRightInd/>
        <w:snapToGrid/>
        <w:spacing w:line="520" w:lineRule="exact"/>
        <w:ind w:firstLine="570"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eastAsia="楷体_GB2312" w:cs="Times New Roman"/>
          <w:b/>
          <w:bCs/>
          <w:spacing w:val="-8"/>
          <w:kern w:val="0"/>
          <w:sz w:val="30"/>
          <w:szCs w:val="30"/>
          <w:lang w:val="en-US" w:eastAsia="zh-CN"/>
        </w:rPr>
        <w:t>（二）全力做减法，降低实体融资成本。</w:t>
      </w:r>
      <w:r>
        <w:rPr>
          <w:rFonts w:hint="default" w:ascii="Times New Roman" w:hAnsi="Times New Roman" w:cs="Times New Roman"/>
          <w:spacing w:val="-8"/>
          <w:kern w:val="0"/>
          <w:sz w:val="30"/>
          <w:szCs w:val="30"/>
          <w:lang w:val="en-US" w:eastAsia="zh-CN"/>
        </w:rPr>
        <w:t>在金融去杠杆、金融风险多发的复杂形势下，融资规模增速放缓、融资供求矛盾加剧、金融市场利率走高，实体企业融资成本面临较大的上升压力。我市认真贯彻党中央、国务院以及省委省政府的决策部署，围绕降低企业融资成本，组织金融机构开展减费让利专项行动，积极倡导“裸费”“阳光收费”银行，大幅缩减涉企融资收费项目。目前，全市银行机构对公业务累计缩减收费项目438项，缩减比例达到63.29%。比如，南浔农商行努力打造“零收费”银行，目前对公业务基本实现零收费。同时，督促银行机构严格控制贷款利率上浮幅度，鼓励对绿色信贷、小微贷款等实行优惠利率。比如交通银行湖州分行，对纳入MPA考核的小微贷款，贷款利率一律不超过基准利率上浮15%。</w:t>
      </w:r>
    </w:p>
    <w:p>
      <w:pPr>
        <w:keepNext w:val="0"/>
        <w:keepLines w:val="0"/>
        <w:pageBreakBefore w:val="0"/>
        <w:kinsoku/>
        <w:wordWrap/>
        <w:overflowPunct/>
        <w:topLinePunct w:val="0"/>
        <w:autoSpaceDN/>
        <w:bidi w:val="0"/>
        <w:adjustRightInd/>
        <w:snapToGrid/>
        <w:spacing w:line="520" w:lineRule="exact"/>
        <w:ind w:firstLine="570"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eastAsia="楷体_GB2312" w:cs="Times New Roman"/>
          <w:b/>
          <w:bCs/>
          <w:spacing w:val="-8"/>
          <w:kern w:val="0"/>
          <w:sz w:val="30"/>
          <w:szCs w:val="30"/>
          <w:lang w:val="en-US" w:eastAsia="zh-CN"/>
        </w:rPr>
        <w:t>（三）创新做乘法，打造银企对接平台。</w:t>
      </w:r>
      <w:r>
        <w:rPr>
          <w:rFonts w:hint="default" w:ascii="Times New Roman" w:hAnsi="Times New Roman" w:cs="Times New Roman"/>
          <w:spacing w:val="-8"/>
          <w:kern w:val="0"/>
          <w:sz w:val="30"/>
          <w:szCs w:val="30"/>
          <w:lang w:val="en-US" w:eastAsia="zh-CN"/>
        </w:rPr>
        <w:t>率先启动金融领域“最多跑一次”改革，依托“互联网+大数据+金融”，建立“绿贷通”银企融资对接平台，创新银企融资对接模式。</w:t>
      </w:r>
      <w:r>
        <w:rPr>
          <w:rFonts w:hint="default" w:ascii="Times New Roman" w:hAnsi="Times New Roman" w:cs="Times New Roman"/>
          <w:b/>
          <w:bCs/>
          <w:spacing w:val="-8"/>
          <w:kern w:val="0"/>
          <w:sz w:val="30"/>
          <w:szCs w:val="30"/>
          <w:lang w:val="en-US" w:eastAsia="zh-CN"/>
        </w:rPr>
        <w:t>一是</w:t>
      </w:r>
      <w:r>
        <w:rPr>
          <w:rFonts w:hint="default" w:ascii="Times New Roman" w:hAnsi="Times New Roman" w:cs="Times New Roman"/>
          <w:spacing w:val="-8"/>
          <w:kern w:val="0"/>
          <w:sz w:val="30"/>
          <w:szCs w:val="30"/>
          <w:lang w:val="en-US" w:eastAsia="zh-CN"/>
        </w:rPr>
        <w:t>实现银企精准对接，打造信贷产品网上超市，企业精准地找到符合自身条件的贷款银行和融资产品，减少银行与企业之间的搜寻成本。</w:t>
      </w:r>
      <w:r>
        <w:rPr>
          <w:rFonts w:hint="default" w:ascii="Times New Roman" w:hAnsi="Times New Roman" w:cs="Times New Roman"/>
          <w:b/>
          <w:bCs/>
          <w:spacing w:val="-8"/>
          <w:kern w:val="0"/>
          <w:sz w:val="30"/>
          <w:szCs w:val="30"/>
          <w:lang w:val="en-US" w:eastAsia="zh-CN"/>
        </w:rPr>
        <w:t>二是</w:t>
      </w:r>
      <w:r>
        <w:rPr>
          <w:rFonts w:hint="default" w:ascii="Times New Roman" w:hAnsi="Times New Roman" w:cs="Times New Roman"/>
          <w:spacing w:val="-8"/>
          <w:kern w:val="0"/>
          <w:sz w:val="30"/>
          <w:szCs w:val="30"/>
          <w:lang w:val="en-US" w:eastAsia="zh-CN"/>
        </w:rPr>
        <w:t>推动银行转变服务方式，建立督查、考核、通报机制，要求银行在企业发布融资需求后，第一时间响应并在规定的时间内主动服务，努力做到企业不跑银行、银行服务企业。</w:t>
      </w:r>
      <w:r>
        <w:rPr>
          <w:rFonts w:hint="default" w:ascii="Times New Roman" w:hAnsi="Times New Roman" w:cs="Times New Roman"/>
          <w:b/>
          <w:bCs/>
          <w:spacing w:val="-8"/>
          <w:kern w:val="0"/>
          <w:sz w:val="30"/>
          <w:szCs w:val="30"/>
          <w:lang w:val="en-US" w:eastAsia="zh-CN"/>
        </w:rPr>
        <w:t>三是</w:t>
      </w:r>
      <w:r>
        <w:rPr>
          <w:rFonts w:hint="default" w:ascii="Times New Roman" w:hAnsi="Times New Roman" w:cs="Times New Roman"/>
          <w:spacing w:val="-8"/>
          <w:kern w:val="0"/>
          <w:sz w:val="30"/>
          <w:szCs w:val="30"/>
          <w:lang w:val="en-US" w:eastAsia="zh-CN"/>
        </w:rPr>
        <w:t>提高企业融资审批效率，“绿贷通”通过接入省、市大数据管理中心，实现融资信息共享与数据整合，帮助银行大幅度节约授信调查时间。“绿贷通”上线试运行两个月以来，累计已帮助899家企业、实现融资33.46亿元。</w:t>
      </w:r>
    </w:p>
    <w:p>
      <w:pPr>
        <w:keepNext w:val="0"/>
        <w:keepLines w:val="0"/>
        <w:pageBreakBefore w:val="0"/>
        <w:kinsoku/>
        <w:wordWrap/>
        <w:overflowPunct/>
        <w:topLinePunct w:val="0"/>
        <w:autoSpaceDN/>
        <w:bidi w:val="0"/>
        <w:adjustRightInd/>
        <w:snapToGrid/>
        <w:spacing w:line="520" w:lineRule="exact"/>
        <w:ind w:firstLine="570"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eastAsia="楷体_GB2312" w:cs="Times New Roman"/>
          <w:b/>
          <w:bCs/>
          <w:spacing w:val="-8"/>
          <w:kern w:val="0"/>
          <w:sz w:val="30"/>
          <w:szCs w:val="30"/>
          <w:lang w:val="en-US" w:eastAsia="zh-CN"/>
        </w:rPr>
        <w:t>（四）坚决做除法，倒逼产业转型升级。</w:t>
      </w:r>
      <w:r>
        <w:rPr>
          <w:rFonts w:hint="default" w:ascii="Times New Roman" w:hAnsi="Times New Roman" w:cs="Times New Roman"/>
          <w:spacing w:val="-8"/>
          <w:kern w:val="0"/>
          <w:sz w:val="30"/>
          <w:szCs w:val="30"/>
          <w:lang w:val="en-US" w:eastAsia="zh-CN"/>
        </w:rPr>
        <w:t xml:space="preserve">建立绿色贷款分类贴标机制，出台全国首个绿色企业和绿色项目认定评价地方标准，推动金融机构从环境影响、能源消耗、产出绩效等方面对企业和项目绿色表现进行审查，将资源配置与“污染-”“能耗-”“水耗-”有机结合，有保有压、区别对待，加大绿色产业资金支持，有序压缩落后产能融资规模，倒逼企业加快绿色转型升级。上半年，全市银行机构绿色贷款同比增长32.34%，“两高一剩”行业贷款同比下降21.08%，连续实现了14个季度下降。比如，建设银行湖州分行建立了公司类客户环境风险负面清单制度，通过对负面清单的建立、分类、维护和运用，杜绝客户“带病准入”，目前已清理负面清单客户471户。                                 </w:t>
      </w:r>
    </w:p>
    <w:p>
      <w:pPr>
        <w:keepNext w:val="0"/>
        <w:keepLines w:val="0"/>
        <w:pageBreakBefore w:val="0"/>
        <w:kinsoku/>
        <w:wordWrap/>
        <w:overflowPunct/>
        <w:topLinePunct w:val="0"/>
        <w:autoSpaceDN/>
        <w:bidi w:val="0"/>
        <w:adjustRightInd/>
        <w:snapToGrid/>
        <w:spacing w:line="520" w:lineRule="exact"/>
        <w:ind w:firstLine="568" w:firstLineChars="200"/>
        <w:textAlignment w:val="auto"/>
        <w:rPr>
          <w:rFonts w:hint="default" w:ascii="Times New Roman" w:hAnsi="Times New Roman" w:cs="Times New Roman"/>
          <w:spacing w:val="-8"/>
          <w:kern w:val="0"/>
          <w:sz w:val="30"/>
          <w:szCs w:val="30"/>
          <w:lang w:val="en-US" w:eastAsia="zh-CN"/>
        </w:rPr>
      </w:pPr>
      <w:r>
        <w:rPr>
          <w:rFonts w:hint="default" w:ascii="Times New Roman" w:hAnsi="Times New Roman" w:cs="Times New Roman"/>
          <w:spacing w:val="-8"/>
          <w:kern w:val="0"/>
          <w:sz w:val="30"/>
          <w:szCs w:val="30"/>
          <w:lang w:val="en-US" w:eastAsia="zh-CN"/>
        </w:rPr>
        <w:t xml:space="preserve">                                              </w:t>
      </w:r>
      <w:r>
        <w:rPr>
          <w:rFonts w:hint="eastAsia" w:ascii="Times New Roman" w:hAnsi="Times New Roman" w:cs="Times New Roman"/>
          <w:spacing w:val="-8"/>
          <w:kern w:val="0"/>
          <w:sz w:val="30"/>
          <w:szCs w:val="30"/>
          <w:lang w:val="en-US" w:eastAsia="zh-CN"/>
        </w:rPr>
        <w:t xml:space="preserve"> </w:t>
      </w:r>
      <w:r>
        <w:rPr>
          <w:rFonts w:hint="default" w:ascii="Times New Roman" w:hAnsi="Times New Roman" w:cs="Times New Roman"/>
          <w:spacing w:val="-8"/>
          <w:kern w:val="0"/>
          <w:sz w:val="30"/>
          <w:szCs w:val="30"/>
          <w:lang w:val="en-US" w:eastAsia="zh-CN"/>
        </w:rPr>
        <w:t xml:space="preserve">（金融改革处）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rPr>
          <w:rFonts w:hint="default" w:ascii="Times New Roman" w:hAnsi="Times New Roman" w:cs="Times New Roman"/>
          <w:b w:val="0"/>
        </w:rPr>
      </w:pPr>
      <w:r>
        <w:rPr>
          <w:rFonts w:hint="default" w:ascii="Times New Roman" w:hAnsi="Times New Roman" w:cs="Times New Roman"/>
          <w:b w:val="0"/>
        </w:rPr>
        <w:br w:type="page"/>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jc w:val="both"/>
        <w:textAlignment w:val="auto"/>
        <w:rPr>
          <w:rFonts w:hint="default" w:ascii="Times New Roman" w:hAnsi="Times New Roman" w:cs="Times New Roman"/>
          <w:b w:val="0"/>
        </w:rPr>
      </w:pPr>
      <w:bookmarkStart w:id="28" w:name="_Toc21072"/>
      <w:r>
        <w:rPr>
          <w:rFonts w:hint="default" w:ascii="Times New Roman" w:hAnsi="Times New Roman" w:cs="Times New Roman"/>
          <w:b w:val="0"/>
        </w:rPr>
        <w:t>【金融机构】</w:t>
      </w:r>
      <w:bookmarkEnd w:id="14"/>
      <w:bookmarkEnd w:id="15"/>
      <w:bookmarkEnd w:id="16"/>
      <w:bookmarkEnd w:id="17"/>
      <w:bookmarkEnd w:id="18"/>
      <w:bookmarkEnd w:id="19"/>
      <w:bookmarkEnd w:id="20"/>
      <w:bookmarkEnd w:id="21"/>
      <w:bookmarkEnd w:id="22"/>
      <w:bookmarkEnd w:id="28"/>
      <w:bookmarkStart w:id="29" w:name="_Toc17742"/>
      <w:bookmarkStart w:id="30" w:name="_Toc1333"/>
      <w:bookmarkStart w:id="31" w:name="_Toc5021"/>
      <w:bookmarkStart w:id="32" w:name="_Toc30648"/>
      <w:bookmarkStart w:id="33" w:name="_Toc25859"/>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cs="Times New Roman"/>
          <w:color w:val="auto"/>
          <w:sz w:val="30"/>
          <w:szCs w:val="30"/>
          <w:lang w:val="en-US" w:eastAsia="zh-CN"/>
        </w:rPr>
      </w:pPr>
      <w:bookmarkStart w:id="34" w:name="_Toc7634"/>
      <w:bookmarkStart w:id="35" w:name="_Toc858"/>
      <w:bookmarkStart w:id="36" w:name="_Toc1628"/>
      <w:bookmarkStart w:id="37" w:name="_Toc6314"/>
      <w:bookmarkStart w:id="38" w:name="_Toc337"/>
      <w:bookmarkStart w:id="39" w:name="_Toc2606"/>
      <w:bookmarkStart w:id="40" w:name="_Toc22155"/>
      <w:bookmarkStart w:id="41" w:name="_Toc4785"/>
      <w:bookmarkStart w:id="42" w:name="_Toc894"/>
      <w:r>
        <w:rPr>
          <w:rStyle w:val="10"/>
          <w:rFonts w:hint="default" w:ascii="Times New Roman" w:hAnsi="Times New Roman" w:cs="Times New Roman"/>
        </w:rPr>
        <w:t>●建行湖州分行实行绿色贷款利率浮动优惠制度</w:t>
      </w:r>
      <w:bookmarkEnd w:id="34"/>
      <w:bookmarkEnd w:id="35"/>
      <w:bookmarkEnd w:id="36"/>
      <w:bookmarkEnd w:id="37"/>
      <w:bookmarkEnd w:id="38"/>
      <w:r>
        <w:rPr>
          <w:rFonts w:hint="default" w:ascii="Times New Roman" w:hAnsi="Times New Roman" w:cs="Times New Roman"/>
          <w:b/>
          <w:bCs/>
          <w:szCs w:val="30"/>
          <w:lang w:val="en-US" w:eastAsia="zh-CN"/>
        </w:rPr>
        <w:t>。</w:t>
      </w:r>
      <w:r>
        <w:rPr>
          <w:rFonts w:hint="default" w:ascii="Times New Roman" w:hAnsi="Times New Roman" w:cs="Times New Roman"/>
          <w:color w:val="auto"/>
          <w:sz w:val="30"/>
          <w:szCs w:val="30"/>
          <w:lang w:val="en-US" w:eastAsia="zh-CN"/>
        </w:rPr>
        <w:t>为积极践行国家“绿色发展”理念，建行湖州分行建立了绿色贷款定价流程，实行绿色贷款利率浮动优惠制度，积极支持分行绿色信贷业务发展。</w:t>
      </w:r>
      <w:r>
        <w:rPr>
          <w:rFonts w:hint="default" w:ascii="Times New Roman" w:hAnsi="Times New Roman" w:cs="Times New Roman"/>
          <w:b/>
          <w:bCs/>
          <w:color w:val="auto"/>
          <w:sz w:val="30"/>
          <w:szCs w:val="30"/>
          <w:lang w:val="en-US" w:eastAsia="zh-CN"/>
        </w:rPr>
        <w:t>一是</w:t>
      </w:r>
      <w:r>
        <w:rPr>
          <w:rFonts w:hint="default" w:ascii="Times New Roman" w:hAnsi="Times New Roman" w:cs="Times New Roman"/>
          <w:color w:val="auto"/>
          <w:sz w:val="30"/>
          <w:szCs w:val="30"/>
          <w:lang w:val="en-US" w:eastAsia="zh-CN"/>
        </w:rPr>
        <w:t>规范绿色贷款认定标准。绿色贷款认定标准充分运用湖州市绿色企业和绿色项目认定标准，并在系统内打标签。</w:t>
      </w:r>
      <w:r>
        <w:rPr>
          <w:rFonts w:hint="default" w:ascii="Times New Roman" w:hAnsi="Times New Roman" w:cs="Times New Roman"/>
          <w:b/>
          <w:bCs/>
          <w:color w:val="auto"/>
          <w:sz w:val="30"/>
          <w:szCs w:val="30"/>
          <w:lang w:val="en-US" w:eastAsia="zh-CN"/>
        </w:rPr>
        <w:t>二是</w:t>
      </w:r>
      <w:r>
        <w:rPr>
          <w:rFonts w:hint="default" w:ascii="Times New Roman" w:hAnsi="Times New Roman" w:cs="Times New Roman"/>
          <w:color w:val="auto"/>
          <w:sz w:val="30"/>
          <w:szCs w:val="30"/>
          <w:lang w:val="en-US" w:eastAsia="zh-CN"/>
        </w:rPr>
        <w:t>制定差异化贷款定价政策。对于系统内认定为绿色信贷客户的新增贷款，定价上浮比例给予1-2个百分点的优惠。同时建立事后监督机制，对于经事后确认为非绿色贷款的，给予一定惩戒措施。</w:t>
      </w:r>
      <w:r>
        <w:rPr>
          <w:rFonts w:hint="default" w:ascii="Times New Roman" w:hAnsi="Times New Roman" w:cs="Times New Roman"/>
          <w:b/>
          <w:bCs/>
          <w:color w:val="auto"/>
          <w:sz w:val="30"/>
          <w:szCs w:val="30"/>
          <w:lang w:val="en-US" w:eastAsia="zh-CN"/>
        </w:rPr>
        <w:t>三是</w:t>
      </w:r>
      <w:r>
        <w:rPr>
          <w:rFonts w:hint="default" w:ascii="Times New Roman" w:hAnsi="Times New Roman" w:cs="Times New Roman"/>
          <w:color w:val="auto"/>
          <w:sz w:val="30"/>
          <w:szCs w:val="30"/>
          <w:lang w:val="en-US" w:eastAsia="zh-CN"/>
        </w:rPr>
        <w:t xml:space="preserve">明确绿色贷款定价流程。定价优惠申请先由分行绿色金融事业部相关人员确认，再提交价格有权审批人审批，并留存相应的申请材料。绿色贷款定价优惠制度的建立，进一步促进了分行绿色信贷业务的发展，截止 6月30日，分行绿色贷款余额42.88亿元，较年初新增7.4亿元，其中5-6月新投放5.16亿元，新投放绿色贷款利率较全部对公贷款平均利率低近2个百分点,为实现“绿色精品分行”的总目标贡献了力量。                                       </w:t>
      </w:r>
      <w:r>
        <w:rPr>
          <w:rFonts w:hint="eastAsia" w:ascii="Times New Roman" w:hAnsi="Times New Roman" w:cs="Times New Roman"/>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600" w:firstLineChars="2200"/>
        <w:jc w:val="both"/>
        <w:textAlignment w:val="auto"/>
        <w:outlineLvl w:val="9"/>
        <w:rPr>
          <w:rStyle w:val="10"/>
          <w:rFonts w:hint="default" w:ascii="Times New Roman" w:hAnsi="Times New Roman" w:cs="Times New Roman"/>
        </w:rPr>
      </w:pPr>
      <w:r>
        <w:rPr>
          <w:rFonts w:hint="default" w:ascii="Times New Roman" w:hAnsi="Times New Roman" w:cs="Times New Roman"/>
          <w:color w:val="auto"/>
          <w:sz w:val="30"/>
          <w:szCs w:val="30"/>
          <w:lang w:val="en-US" w:eastAsia="zh-CN"/>
        </w:rPr>
        <w:t xml:space="preserve">（建行湖州分行）                                   </w:t>
      </w:r>
    </w:p>
    <w:bookmarkEnd w:id="39"/>
    <w:bookmarkEnd w:id="40"/>
    <w:bookmarkEnd w:id="41"/>
    <w:bookmarkEnd w:id="42"/>
    <w:p>
      <w:pPr>
        <w:keepNext w:val="0"/>
        <w:keepLines w:val="0"/>
        <w:pageBreakBefore w:val="0"/>
        <w:kinsoku/>
        <w:wordWrap/>
        <w:overflowPunct/>
        <w:topLinePunct w:val="0"/>
        <w:autoSpaceDN/>
        <w:bidi w:val="0"/>
        <w:adjustRightInd/>
        <w:snapToGrid/>
        <w:spacing w:line="520" w:lineRule="exact"/>
        <w:ind w:right="0" w:rightChars="0"/>
        <w:jc w:val="both"/>
        <w:textAlignment w:val="auto"/>
        <w:rPr>
          <w:rFonts w:hint="default" w:ascii="Times New Roman" w:hAnsi="Times New Roman" w:cs="Times New Roman"/>
          <w:lang w:val="en-US" w:eastAsia="zh-CN"/>
        </w:rPr>
      </w:pPr>
      <w:bookmarkStart w:id="43" w:name="_Toc13625"/>
      <w:bookmarkStart w:id="44" w:name="_Toc3228"/>
      <w:bookmarkStart w:id="45" w:name="_Toc6618"/>
      <w:bookmarkStart w:id="46" w:name="_Toc5149"/>
      <w:bookmarkStart w:id="47" w:name="_Toc26864"/>
      <w:bookmarkStart w:id="48" w:name="_Toc2942"/>
      <w:r>
        <w:rPr>
          <w:rStyle w:val="10"/>
          <w:rFonts w:hint="default" w:ascii="Times New Roman" w:hAnsi="Times New Roman" w:cs="Times New Roman"/>
        </w:rPr>
        <w:t>●</w:t>
      </w:r>
      <w:r>
        <w:rPr>
          <w:rStyle w:val="10"/>
          <w:rFonts w:hint="default" w:ascii="Times New Roman" w:hAnsi="Times New Roman" w:cs="Times New Roman"/>
          <w:lang w:val="en-US" w:eastAsia="zh-CN"/>
        </w:rPr>
        <w:t>邮储银行湖州市发放首笔小企业“船舶贷”</w:t>
      </w:r>
      <w:bookmarkEnd w:id="43"/>
      <w:bookmarkEnd w:id="44"/>
      <w:bookmarkEnd w:id="45"/>
      <w:bookmarkEnd w:id="46"/>
      <w:bookmarkEnd w:id="47"/>
      <w:r>
        <w:rPr>
          <w:rFonts w:hint="default" w:ascii="Times New Roman" w:hAnsi="Times New Roman" w:cs="Times New Roman"/>
          <w:b/>
          <w:bCs/>
          <w:szCs w:val="30"/>
          <w:lang w:val="en-US" w:eastAsia="zh-CN"/>
        </w:rPr>
        <w:t>。</w:t>
      </w:r>
      <w:bookmarkEnd w:id="48"/>
      <w:r>
        <w:rPr>
          <w:rFonts w:hint="default" w:ascii="Times New Roman" w:hAnsi="Times New Roman" w:cs="Times New Roman"/>
          <w:szCs w:val="30"/>
          <w:lang w:val="en-US" w:eastAsia="zh-CN"/>
        </w:rPr>
        <w:t>6月8日，邮储银行湖州市分行成功发放全市首笔“船舶贷”贷款170万元，着力解决船舶运输业小微企业抵押物不足、融资难等问题。首笔“船舶贷”的成功落地，标志着我行在服务实体经济上勇于创新，以更多元化的金融产品有效支持各行各业。船舶业小微企业由于营收少、押品少等问题，一直存在融资难等问题。邮储银行湖州市分行一直着力于如何不提高小微企业融资成本及追加传统抵质押物的基础上有效解决船舶企业融资难问题。经过多次实地走访船舶业管理部门评估行业风险，在了解到湖州凌宇运输有限公司确有资金需求后，向其推荐</w:t>
      </w:r>
      <w:r>
        <w:rPr>
          <w:rFonts w:hint="eastAsia" w:ascii="Times New Roman" w:hAnsi="Times New Roman" w:cs="Times New Roman"/>
          <w:szCs w:val="30"/>
          <w:lang w:val="en-US" w:eastAsia="zh-CN"/>
        </w:rPr>
        <w:t>该</w:t>
      </w:r>
      <w:r>
        <w:rPr>
          <w:rFonts w:hint="default" w:ascii="Times New Roman" w:hAnsi="Times New Roman" w:cs="Times New Roman"/>
          <w:szCs w:val="30"/>
          <w:lang w:val="en-US" w:eastAsia="zh-CN"/>
        </w:rPr>
        <w:t xml:space="preserve">行小企业“船舶贷”产品，最终通过上下沟通协作，成功发放首笔“船舶贷”业务。       </w:t>
      </w:r>
      <w:r>
        <w:rPr>
          <w:rFonts w:hint="eastAsia" w:ascii="Times New Roman" w:hAnsi="Times New Roman" w:cs="Times New Roman"/>
          <w:szCs w:val="30"/>
          <w:lang w:val="en-US" w:eastAsia="zh-CN"/>
        </w:rPr>
        <w:t xml:space="preserve">    </w:t>
      </w:r>
      <w:r>
        <w:rPr>
          <w:rFonts w:hint="default" w:ascii="Times New Roman" w:hAnsi="Times New Roman" w:cs="Times New Roman"/>
          <w:szCs w:val="30"/>
          <w:lang w:val="en-US" w:eastAsia="zh-CN"/>
        </w:rPr>
        <w:t xml:space="preserve">   </w:t>
      </w:r>
      <w:r>
        <w:rPr>
          <w:rFonts w:hint="eastAsia" w:ascii="Times New Roman" w:hAnsi="Times New Roman" w:cs="Times New Roman"/>
          <w:szCs w:val="30"/>
          <w:lang w:val="en-US" w:eastAsia="zh-CN"/>
        </w:rPr>
        <w:t xml:space="preserve">      </w:t>
      </w:r>
      <w:r>
        <w:rPr>
          <w:rFonts w:hint="default" w:ascii="Times New Roman" w:hAnsi="Times New Roman" w:cs="Times New Roman"/>
          <w:szCs w:val="30"/>
          <w:lang w:val="en-US" w:eastAsia="zh-CN"/>
        </w:rPr>
        <w:t xml:space="preserve"> </w:t>
      </w:r>
      <w:r>
        <w:rPr>
          <w:rFonts w:hint="default" w:ascii="Times New Roman" w:hAnsi="Times New Roman" w:cs="Times New Roman"/>
          <w:lang w:eastAsia="zh-CN"/>
        </w:rPr>
        <w:t>（</w:t>
      </w:r>
      <w:r>
        <w:rPr>
          <w:rFonts w:hint="default" w:ascii="Times New Roman" w:hAnsi="Times New Roman" w:cs="Times New Roman"/>
          <w:szCs w:val="30"/>
          <w:lang w:val="en-US" w:eastAsia="zh-CN"/>
        </w:rPr>
        <w:t>邮储银行湖州市分行</w:t>
      </w:r>
      <w:r>
        <w:rPr>
          <w:rFonts w:hint="default" w:ascii="Times New Roman" w:hAnsi="Times New Roman" w:cs="Times New Roman"/>
          <w:lang w:eastAsia="zh-CN"/>
        </w:rPr>
        <w:t>）</w:t>
      </w:r>
      <w:r>
        <w:rPr>
          <w:rFonts w:hint="default" w:ascii="Times New Roman" w:hAnsi="Times New Roman" w:cs="Times New Roman"/>
          <w:szCs w:val="30"/>
          <w:lang w:val="en-US" w:eastAsia="zh-CN"/>
        </w:rPr>
        <w:t xml:space="preserve">          </w:t>
      </w:r>
      <w:r>
        <w:rPr>
          <w:rFonts w:hint="default" w:ascii="Times New Roman" w:hAnsi="Times New Roman" w:cs="Times New Roman"/>
          <w:lang w:val="en-US" w:eastAsia="zh-CN"/>
        </w:rPr>
        <w:t xml:space="preserve">  </w:t>
      </w:r>
    </w:p>
    <w:p>
      <w:pPr>
        <w:keepNext w:val="0"/>
        <w:keepLines w:val="0"/>
        <w:pageBreakBefore w:val="0"/>
        <w:kinsoku/>
        <w:wordWrap/>
        <w:overflowPunct/>
        <w:topLinePunct w:val="0"/>
        <w:autoSpaceDN/>
        <w:bidi w:val="0"/>
        <w:adjustRightInd/>
        <w:snapToGrid/>
        <w:spacing w:line="520" w:lineRule="exact"/>
        <w:ind w:left="0" w:leftChars="0" w:right="0" w:rightChars="0" w:firstLine="600" w:firstLineChars="200"/>
        <w:jc w:val="both"/>
        <w:textAlignment w:val="auto"/>
        <w:rPr>
          <w:rFonts w:hint="default" w:ascii="Times New Roman" w:hAnsi="Times New Roman" w:cs="Times New Roman"/>
          <w:lang w:val="en-US" w:eastAsia="zh-CN"/>
        </w:rPr>
      </w:pPr>
      <w:bookmarkStart w:id="49" w:name="_Toc25571"/>
      <w:r>
        <w:rPr>
          <w:rStyle w:val="10"/>
          <w:rFonts w:hint="default" w:ascii="Times New Roman" w:hAnsi="Times New Roman" w:cs="Times New Roman"/>
        </w:rPr>
        <w:t>●</w:t>
      </w:r>
      <w:r>
        <w:rPr>
          <w:rStyle w:val="10"/>
          <w:rFonts w:hint="default" w:ascii="Times New Roman" w:hAnsi="Times New Roman" w:cs="Times New Roman"/>
          <w:lang w:val="en-US" w:eastAsia="zh-CN"/>
        </w:rPr>
        <w:t>湖州银行“快捷贷”零跑次助力乡村振兴</w:t>
      </w:r>
      <w:bookmarkEnd w:id="49"/>
      <w:r>
        <w:rPr>
          <w:rFonts w:hint="default" w:ascii="Times New Roman" w:hAnsi="Times New Roman" w:cs="Times New Roman"/>
          <w:b/>
          <w:bCs/>
          <w:szCs w:val="30"/>
          <w:lang w:val="en-US" w:eastAsia="zh-CN"/>
        </w:rPr>
        <w:t>。</w:t>
      </w:r>
      <w:r>
        <w:rPr>
          <w:rFonts w:hint="default" w:ascii="Times New Roman" w:hAnsi="Times New Roman" w:cs="Times New Roman"/>
          <w:lang w:val="en-US" w:eastAsia="zh-CN"/>
        </w:rPr>
        <w:t>近日，湖州银行针对个体经营户、小微企业主、农户等人群推出的“移动快捷贷”被中国银行业协会评为“2017年服务三农五十佳金融产品”。该产品将开卡、身份核查、贷款受理、发放和贷后管理等步骤用一部移动设备统一办理、一次办结；采用影像电子化传输技术对个人贷款业务进行流程再造，信贷资料以照片、录像等形式为主，解决纸质资料多的问题；以信用和保证为主要担保方式，贷款最长5年，贷款金额最大30万，解决农户融资难、融资贵、担保难的问题，为农户提供实实在在的普惠金融服务。                           （湖州银行）</w:t>
      </w:r>
    </w:p>
    <w:p>
      <w:pPr>
        <w:keepNext w:val="0"/>
        <w:keepLines w:val="0"/>
        <w:pageBreakBefore w:val="0"/>
        <w:kinsoku/>
        <w:wordWrap/>
        <w:overflowPunct/>
        <w:topLinePunct w:val="0"/>
        <w:autoSpaceDN/>
        <w:bidi w:val="0"/>
        <w:adjustRightInd/>
        <w:snapToGrid/>
        <w:spacing w:line="520" w:lineRule="exact"/>
        <w:ind w:left="0" w:leftChars="0" w:right="0" w:rightChars="0" w:firstLine="600" w:firstLineChars="200"/>
        <w:jc w:val="both"/>
        <w:textAlignment w:val="auto"/>
        <w:rPr>
          <w:rFonts w:hint="default" w:ascii="Times New Roman" w:hAnsi="Times New Roman" w:cs="Times New Roman"/>
          <w:b w:val="0"/>
        </w:rPr>
      </w:pPr>
      <w:bookmarkStart w:id="50" w:name="_Toc28299"/>
      <w:r>
        <w:rPr>
          <w:rStyle w:val="10"/>
          <w:rFonts w:hint="default" w:ascii="Times New Roman" w:hAnsi="Times New Roman" w:cs="Times New Roman"/>
        </w:rPr>
        <w:t>●</w:t>
      </w:r>
      <w:r>
        <w:rPr>
          <w:rStyle w:val="10"/>
          <w:rFonts w:hint="default" w:ascii="Times New Roman" w:hAnsi="Times New Roman" w:cs="Times New Roman"/>
          <w:lang w:val="en-US" w:eastAsia="zh-CN"/>
        </w:rPr>
        <w:t>安吉农商行发放首笔公益林补偿收益权质押贷款</w:t>
      </w:r>
      <w:bookmarkEnd w:id="50"/>
      <w:r>
        <w:rPr>
          <w:rFonts w:hint="default" w:ascii="Times New Roman" w:hAnsi="Times New Roman" w:cs="Times New Roman"/>
          <w:b/>
          <w:bCs/>
          <w:szCs w:val="30"/>
          <w:lang w:val="en-US" w:eastAsia="zh-CN"/>
        </w:rPr>
        <w:t>。</w:t>
      </w:r>
      <w:r>
        <w:rPr>
          <w:rFonts w:hint="default" w:ascii="Times New Roman" w:hAnsi="Times New Roman" w:cs="Times New Roman"/>
          <w:szCs w:val="30"/>
        </w:rPr>
        <w:t>7月4日，安吉农商行上墅支行向安吉县上墅乡龙王村股份经济合作社发放一笔83万元的公益林补偿收益权质押贷款，唤醒了公益林这一“沉睡资产”。公益林补偿收益权质押贷款是由安吉农商银行和安吉县林业局合作，向合法持有《林权证》或《林地经营权流转证》的单位或个人发放以合法、可持续的公益林补偿收益权作为质押担保的一种创新型林权贷款。该笔贷款以公益林补偿收益权质押，解决了担保的麻烦，且贷款发放时间最长为五年，按年以补偿金来归还贷款，省去了贷款周转的手续。公益林补偿收益权质押贷款将5年的可预期补偿收益转化为现实收益，通过放大贷款额度发挥资金的规模效益，有效扩宽了村集体和林农的融资渠道，真正做到为农民谋利益，为农村谋发展。</w:t>
      </w:r>
      <w:r>
        <w:rPr>
          <w:rFonts w:hint="default" w:ascii="Times New Roman" w:hAnsi="Times New Roman" w:cs="Times New Roman"/>
          <w:szCs w:val="30"/>
          <w:lang w:val="en-US" w:eastAsia="zh-CN"/>
        </w:rPr>
        <w:t xml:space="preserve">                                </w:t>
      </w:r>
      <w:r>
        <w:rPr>
          <w:rFonts w:hint="default" w:ascii="Times New Roman" w:hAnsi="Times New Roman" w:cs="Times New Roman"/>
          <w:lang w:val="en-US" w:eastAsia="zh-CN"/>
        </w:rPr>
        <w:t>（安吉农商行）</w:t>
      </w:r>
      <w:bookmarkEnd w:id="29"/>
      <w:r>
        <w:rPr>
          <w:rFonts w:hint="default" w:ascii="Times New Roman" w:hAnsi="Times New Roman" w:cs="Times New Roman"/>
          <w:color w:val="auto"/>
          <w:sz w:val="30"/>
          <w:szCs w:val="30"/>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default" w:ascii="Times New Roman" w:hAnsi="Times New Roman" w:eastAsia="仿宋_GB2312" w:cs="Times New Roman"/>
          <w:color w:val="auto"/>
          <w:sz w:val="30"/>
          <w:szCs w:val="30"/>
          <w:lang w:val="en-US" w:eastAsia="zh-CN"/>
        </w:rPr>
      </w:pPr>
      <w:bookmarkStart w:id="51" w:name="_Toc26941"/>
      <w:r>
        <w:rPr>
          <w:rFonts w:hint="default" w:ascii="Times New Roman" w:hAnsi="Times New Roman" w:cs="Times New Roman"/>
          <w:b w:val="0"/>
        </w:rPr>
        <w:t>【</w:t>
      </w:r>
      <w:r>
        <w:rPr>
          <w:rFonts w:hint="default" w:ascii="Times New Roman" w:hAnsi="Times New Roman" w:cs="Times New Roman"/>
          <w:b w:val="0"/>
          <w:lang w:val="en-US" w:eastAsia="zh-CN"/>
        </w:rPr>
        <w:t>政务信息工作</w:t>
      </w:r>
      <w:r>
        <w:rPr>
          <w:rFonts w:hint="default" w:ascii="Times New Roman" w:hAnsi="Times New Roman" w:cs="Times New Roman"/>
          <w:b w:val="0"/>
        </w:rPr>
        <w:t>】</w:t>
      </w:r>
      <w:bookmarkEnd w:id="51"/>
    </w:p>
    <w:p>
      <w:pPr>
        <w:jc w:val="center"/>
        <w:rPr>
          <w:rFonts w:hint="default" w:ascii="Times New Roman" w:hAnsi="Times New Roman" w:eastAsia="方正小标宋简体" w:cs="Times New Roman"/>
          <w:sz w:val="30"/>
          <w:szCs w:val="30"/>
          <w:lang w:val="en-US" w:eastAsia="zh-CN"/>
        </w:rPr>
      </w:pPr>
      <w:r>
        <w:rPr>
          <w:rFonts w:hint="default" w:ascii="Times New Roman" w:hAnsi="Times New Roman" w:eastAsia="方正小标宋简体" w:cs="Times New Roman"/>
          <w:sz w:val="30"/>
          <w:szCs w:val="30"/>
          <w:lang w:val="en-US" w:eastAsia="zh-CN"/>
        </w:rPr>
        <w:t>1-6月份政务信息采用情况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综合处提供的《市金融办学习贯彻党的十九大会议精神》</w:t>
      </w:r>
      <w:r>
        <w:rPr>
          <w:rFonts w:hint="default" w:ascii="Times New Roman" w:hAnsi="Times New Roman" w:eastAsia="仿宋_GB2312" w:cs="Times New Roman"/>
          <w:sz w:val="28"/>
          <w:szCs w:val="28"/>
          <w:highlight w:val="none"/>
          <w:lang w:val="en-US" w:eastAsia="zh-CN"/>
        </w:rPr>
        <w:t>被《</w:t>
      </w:r>
      <w:r>
        <w:rPr>
          <w:rFonts w:hint="default" w:ascii="Times New Roman" w:hAnsi="Times New Roman" w:eastAsia="仿宋_GB2312" w:cs="Times New Roman"/>
          <w:sz w:val="28"/>
          <w:szCs w:val="28"/>
          <w:lang w:val="en-US" w:eastAsia="zh-CN"/>
        </w:rPr>
        <w:t>湖州信息（近日要情）</w:t>
      </w:r>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综合处提供的《我市发行的全省首支绿色企业债成功获批》</w:t>
      </w:r>
      <w:r>
        <w:rPr>
          <w:rFonts w:hint="default" w:ascii="Times New Roman" w:hAnsi="Times New Roman" w:eastAsia="仿宋_GB2312" w:cs="Times New Roman"/>
          <w:sz w:val="28"/>
          <w:szCs w:val="28"/>
          <w:highlight w:val="none"/>
          <w:lang w:val="en-US" w:eastAsia="zh-CN"/>
        </w:rPr>
        <w:t>被《</w:t>
      </w:r>
      <w:r>
        <w:rPr>
          <w:rFonts w:hint="default" w:ascii="Times New Roman" w:hAnsi="Times New Roman" w:eastAsia="仿宋_GB2312" w:cs="Times New Roman"/>
          <w:sz w:val="28"/>
          <w:szCs w:val="28"/>
          <w:lang w:val="en-US" w:eastAsia="zh-CN"/>
        </w:rPr>
        <w:t>湖州信息（近日要情）</w:t>
      </w:r>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综合处提供的《湖州市以国家级绿色金改试点为引领  提升金融服务实体经济精准性、有效性的主要做法》被《专报省办信息》采用；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综合处提供的《</w:t>
      </w:r>
      <w:r>
        <w:rPr>
          <w:rFonts w:hint="default" w:ascii="Times New Roman" w:hAnsi="Times New Roman" w:eastAsia="仿宋_GB2312" w:cs="Times New Roman"/>
          <w:spacing w:val="-6"/>
          <w:sz w:val="28"/>
          <w:szCs w:val="28"/>
          <w:lang w:val="en-US" w:eastAsia="zh-CN"/>
        </w:rPr>
        <w:t>湖州市调查反映非法集资案件风险依然存在  处置机制亟需完善</w:t>
      </w:r>
      <w:r>
        <w:rPr>
          <w:rFonts w:hint="default" w:ascii="Times New Roman" w:hAnsi="Times New Roman" w:eastAsia="仿宋_GB2312" w:cs="Times New Roman"/>
          <w:sz w:val="28"/>
          <w:szCs w:val="28"/>
          <w:lang w:val="en-US" w:eastAsia="zh-CN"/>
        </w:rPr>
        <w:t>》被《专报省办信息》采用；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综合处提供的《</w:t>
      </w:r>
      <w:r>
        <w:rPr>
          <w:rFonts w:hint="default" w:ascii="Times New Roman" w:hAnsi="Times New Roman" w:eastAsia="仿宋_GB2312" w:cs="Times New Roman"/>
          <w:spacing w:val="-6"/>
          <w:sz w:val="28"/>
          <w:szCs w:val="28"/>
          <w:lang w:val="en-US" w:eastAsia="zh-CN"/>
        </w:rPr>
        <w:t>湖州市获批绿色金融改革试点一周年积极推进绿色金融支持绿色实体发展成效显著</w:t>
      </w:r>
      <w:r>
        <w:rPr>
          <w:rFonts w:hint="default" w:ascii="Times New Roman" w:hAnsi="Times New Roman" w:eastAsia="仿宋_GB2312" w:cs="Times New Roman"/>
          <w:sz w:val="28"/>
          <w:szCs w:val="28"/>
          <w:lang w:val="en-US" w:eastAsia="zh-CN"/>
        </w:rPr>
        <w:t>》被《专报省办信息》采用，</w:t>
      </w:r>
      <w:r>
        <w:rPr>
          <w:rFonts w:hint="default" w:ascii="Times New Roman" w:hAnsi="Times New Roman" w:eastAsia="仿宋_GB2312" w:cs="Times New Roman"/>
          <w:sz w:val="28"/>
          <w:szCs w:val="28"/>
          <w:highlight w:val="none"/>
          <w:lang w:val="en-US" w:eastAsia="zh-CN"/>
        </w:rPr>
        <w:t>获省领导批示</w:t>
      </w:r>
      <w:r>
        <w:rPr>
          <w:rFonts w:hint="default" w:ascii="Times New Roman" w:hAnsi="Times New Roman" w:eastAsia="仿宋_GB2312" w:cs="Times New Roman"/>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金融发展处提供的《2017年我市金融业增速居全省第一》</w:t>
      </w:r>
      <w:r>
        <w:rPr>
          <w:rFonts w:hint="default" w:ascii="Times New Roman" w:hAnsi="Times New Roman" w:eastAsia="仿宋_GB2312" w:cs="Times New Roman"/>
          <w:sz w:val="28"/>
          <w:szCs w:val="28"/>
          <w:highlight w:val="none"/>
          <w:lang w:val="en-US" w:eastAsia="zh-CN"/>
        </w:rPr>
        <w:t>被《湖州政务（每日要情）》和《</w:t>
      </w:r>
      <w:r>
        <w:rPr>
          <w:rFonts w:hint="default" w:ascii="Times New Roman" w:hAnsi="Times New Roman" w:eastAsia="仿宋_GB2312" w:cs="Times New Roman"/>
          <w:sz w:val="28"/>
          <w:szCs w:val="28"/>
          <w:lang w:val="en-US" w:eastAsia="zh-CN"/>
        </w:rPr>
        <w:t>湖州信息（近日要情）</w:t>
      </w:r>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金融发展处提供的《我市金融工作实现“开门红”六项指标居全省前列》</w:t>
      </w:r>
      <w:r>
        <w:rPr>
          <w:rFonts w:hint="default" w:ascii="Times New Roman" w:hAnsi="Times New Roman" w:eastAsia="仿宋_GB2312" w:cs="Times New Roman"/>
          <w:sz w:val="28"/>
          <w:szCs w:val="28"/>
          <w:highlight w:val="none"/>
          <w:lang w:val="en-US" w:eastAsia="zh-CN"/>
        </w:rPr>
        <w:t>被《</w:t>
      </w:r>
      <w:r>
        <w:rPr>
          <w:rFonts w:hint="default" w:ascii="Times New Roman" w:hAnsi="Times New Roman" w:eastAsia="仿宋_GB2312" w:cs="Times New Roman"/>
          <w:sz w:val="28"/>
          <w:szCs w:val="28"/>
          <w:lang w:val="en-US" w:eastAsia="zh-CN"/>
        </w:rPr>
        <w:t>湖州信息（近日要情）</w:t>
      </w:r>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金融发展处提供的《湖州市创新“四绿”融资模式做大绿色金融供给》</w:t>
      </w:r>
      <w:r>
        <w:rPr>
          <w:rFonts w:hint="default" w:ascii="Times New Roman" w:hAnsi="Times New Roman" w:eastAsia="仿宋_GB2312" w:cs="Times New Roman"/>
          <w:sz w:val="28"/>
          <w:szCs w:val="28"/>
          <w:highlight w:val="none"/>
          <w:lang w:val="en-US" w:eastAsia="zh-CN"/>
        </w:rPr>
        <w:t>被《专报省办信息》采用；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金融发展处提供的《中国·湖州太湖绿色金融小镇推介暨湖州绿色金融政策发布会在京成功举行》</w:t>
      </w:r>
      <w:r>
        <w:rPr>
          <w:rFonts w:hint="default" w:ascii="Times New Roman" w:hAnsi="Times New Roman" w:eastAsia="仿宋_GB2312" w:cs="Times New Roman"/>
          <w:sz w:val="28"/>
          <w:szCs w:val="28"/>
          <w:highlight w:val="none"/>
          <w:lang w:val="en-US" w:eastAsia="zh-CN"/>
        </w:rPr>
        <w:t>被《领导专报》采用；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10. 金融发展处提供的《我市探索建立全国首个地方性绿色企业和项目认定评估指标体系》</w:t>
      </w:r>
      <w:r>
        <w:rPr>
          <w:rFonts w:hint="default" w:ascii="Times New Roman" w:hAnsi="Times New Roman" w:eastAsia="仿宋_GB2312" w:cs="Times New Roman"/>
          <w:sz w:val="28"/>
          <w:szCs w:val="28"/>
          <w:highlight w:val="none"/>
          <w:lang w:val="en-US" w:eastAsia="zh-CN"/>
        </w:rPr>
        <w:t>被《湖州政务（每日要情）》和《专报省办信息》采用；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11. 金融发展处提供的《我市探索建立全国首个地方性绿色企业和项目认定评估指标体系》</w:t>
      </w:r>
      <w:r>
        <w:rPr>
          <w:rFonts w:hint="default" w:ascii="Times New Roman" w:hAnsi="Times New Roman" w:eastAsia="仿宋_GB2312" w:cs="Times New Roman"/>
          <w:sz w:val="28"/>
          <w:szCs w:val="28"/>
          <w:highlight w:val="none"/>
          <w:lang w:val="en-US" w:eastAsia="zh-CN"/>
        </w:rPr>
        <w:t>被《湖州政务（每日要情）》和《专报省办信息》采用；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12. 金融改革处提供的《</w:t>
      </w:r>
      <w:r>
        <w:rPr>
          <w:rFonts w:hint="default" w:ascii="Times New Roman" w:hAnsi="Times New Roman" w:eastAsia="仿宋_GB2312" w:cs="Times New Roman"/>
          <w:spacing w:val="-6"/>
          <w:sz w:val="28"/>
          <w:szCs w:val="28"/>
          <w:lang w:val="en-US" w:eastAsia="zh-CN"/>
        </w:rPr>
        <w:t>湖州市在全国率先发布绿色企业、项目认定评价方法的探索实践</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highlight w:val="none"/>
          <w:lang w:val="en-US" w:eastAsia="zh-CN"/>
        </w:rPr>
        <w:t>被《专报省办信息》采用；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13. 金融改革处提供的《</w:t>
      </w:r>
      <w:r>
        <w:rPr>
          <w:rFonts w:hint="default" w:ascii="Times New Roman" w:hAnsi="Times New Roman" w:eastAsia="仿宋_GB2312" w:cs="Times New Roman"/>
          <w:spacing w:val="-6"/>
          <w:sz w:val="28"/>
          <w:szCs w:val="28"/>
          <w:lang w:val="en-US" w:eastAsia="zh-CN"/>
        </w:rPr>
        <w:t>我市绿色金融改革创新试验区建设一年来成效显著</w:t>
      </w:r>
      <w:r>
        <w:rPr>
          <w:rFonts w:hint="default" w:ascii="Times New Roman" w:hAnsi="Times New Roman" w:eastAsia="仿宋_GB2312" w:cs="Times New Roman"/>
          <w:sz w:val="28"/>
          <w:szCs w:val="28"/>
          <w:highlight w:val="none"/>
          <w:lang w:val="en-US" w:eastAsia="zh-CN"/>
        </w:rPr>
        <w:t>》被《湖州政务（每日要情）》采用，获市领导批示；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14. 金融改革处提供的《</w:t>
      </w:r>
      <w:r>
        <w:rPr>
          <w:rFonts w:hint="default" w:ascii="Times New Roman" w:hAnsi="Times New Roman" w:eastAsia="仿宋_GB2312" w:cs="Times New Roman"/>
          <w:spacing w:val="-6"/>
          <w:sz w:val="28"/>
          <w:szCs w:val="28"/>
          <w:lang w:val="en-US" w:eastAsia="zh-CN"/>
        </w:rPr>
        <w:t>绿色金融改革创新试验区座谈会在湖州顺利召开</w:t>
      </w:r>
      <w:r>
        <w:rPr>
          <w:rFonts w:hint="default" w:ascii="Times New Roman" w:hAnsi="Times New Roman" w:eastAsia="仿宋_GB2312" w:cs="Times New Roman"/>
          <w:sz w:val="28"/>
          <w:szCs w:val="28"/>
          <w:highlight w:val="none"/>
          <w:lang w:val="en-US" w:eastAsia="zh-CN"/>
        </w:rPr>
        <w:t>》被《湖州政务（每日要情）》采用；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15. 金融改革处提供的《</w:t>
      </w:r>
      <w:r>
        <w:rPr>
          <w:rFonts w:hint="default" w:ascii="Times New Roman" w:hAnsi="Times New Roman" w:eastAsia="仿宋_GB2312" w:cs="Times New Roman"/>
          <w:spacing w:val="-6"/>
          <w:sz w:val="28"/>
          <w:szCs w:val="28"/>
          <w:lang w:val="en-US" w:eastAsia="zh-CN"/>
        </w:rPr>
        <w:t>湖州市在全国率先发布绿色企业、项目认定评价方法助推绿色金融扶持实体经济的探索实践</w:t>
      </w:r>
      <w:r>
        <w:rPr>
          <w:rFonts w:hint="default" w:ascii="Times New Roman" w:hAnsi="Times New Roman" w:eastAsia="仿宋_GB2312" w:cs="Times New Roman"/>
          <w:sz w:val="28"/>
          <w:szCs w:val="28"/>
          <w:highlight w:val="none"/>
          <w:lang w:val="en-US" w:eastAsia="zh-CN"/>
        </w:rPr>
        <w:t>》被《专报省办信息》采用；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16. 金融产业处提供的《</w:t>
      </w:r>
      <w:r>
        <w:rPr>
          <w:rFonts w:hint="default" w:ascii="Times New Roman" w:hAnsi="Times New Roman" w:eastAsia="仿宋_GB2312" w:cs="Times New Roman"/>
          <w:spacing w:val="-6"/>
          <w:sz w:val="28"/>
          <w:szCs w:val="28"/>
          <w:lang w:val="en-US" w:eastAsia="zh-CN"/>
        </w:rPr>
        <w:t>湖州市分类化解本地企业债务风险促进实体经济平稳运行</w:t>
      </w:r>
      <w:r>
        <w:rPr>
          <w:rFonts w:hint="default" w:ascii="Times New Roman" w:hAnsi="Times New Roman" w:eastAsia="仿宋_GB2312" w:cs="Times New Roman"/>
          <w:sz w:val="28"/>
          <w:szCs w:val="28"/>
          <w:highlight w:val="none"/>
          <w:lang w:val="en-US" w:eastAsia="zh-CN"/>
        </w:rPr>
        <w:t>》被《专报省办信息》采用，获省领导批示；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17. 金融产业处提供的《</w:t>
      </w:r>
      <w:r>
        <w:rPr>
          <w:rFonts w:hint="default" w:ascii="Times New Roman" w:hAnsi="Times New Roman" w:eastAsia="仿宋_GB2312" w:cs="Times New Roman"/>
          <w:spacing w:val="-6"/>
          <w:sz w:val="28"/>
          <w:szCs w:val="28"/>
          <w:lang w:val="en-US" w:eastAsia="zh-CN"/>
        </w:rPr>
        <w:t>我市金融服务科技型小微企业专项活动初显成效</w:t>
      </w:r>
      <w:r>
        <w:rPr>
          <w:rFonts w:hint="default" w:ascii="Times New Roman" w:hAnsi="Times New Roman" w:eastAsia="仿宋_GB2312" w:cs="Times New Roman"/>
          <w:sz w:val="28"/>
          <w:szCs w:val="28"/>
          <w:highlight w:val="none"/>
          <w:lang w:val="en-US" w:eastAsia="zh-CN"/>
        </w:rPr>
        <w:t>》被《湖州政务（每日要情）》采用，获市领导批示；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18. 金融产业处提供的《</w:t>
      </w:r>
      <w:r>
        <w:rPr>
          <w:rFonts w:hint="default" w:ascii="Times New Roman" w:hAnsi="Times New Roman" w:eastAsia="仿宋_GB2312" w:cs="Times New Roman"/>
          <w:spacing w:val="-6"/>
          <w:sz w:val="28"/>
          <w:szCs w:val="28"/>
          <w:lang w:val="en-US" w:eastAsia="zh-CN"/>
        </w:rPr>
        <w:t>湖州“三管齐下”推进地方金融风险网格化管理工作</w:t>
      </w:r>
      <w:r>
        <w:rPr>
          <w:rFonts w:hint="default" w:ascii="Times New Roman" w:hAnsi="Times New Roman" w:eastAsia="仿宋_GB2312" w:cs="Times New Roman"/>
          <w:sz w:val="28"/>
          <w:szCs w:val="28"/>
          <w:highlight w:val="none"/>
          <w:lang w:val="en-US" w:eastAsia="zh-CN"/>
        </w:rPr>
        <w:t>》被《省金融办工作简报》</w:t>
      </w:r>
      <w:bookmarkStart w:id="52" w:name="_GoBack"/>
      <w:bookmarkEnd w:id="52"/>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19. 资本市场处提供的《我市企业上市迎来“开门红”》</w:t>
      </w:r>
      <w:r>
        <w:rPr>
          <w:rFonts w:hint="default" w:ascii="Times New Roman" w:hAnsi="Times New Roman" w:eastAsia="仿宋_GB2312" w:cs="Times New Roman"/>
          <w:sz w:val="28"/>
          <w:szCs w:val="28"/>
          <w:highlight w:val="none"/>
          <w:lang w:val="en-US" w:eastAsia="zh-CN"/>
        </w:rPr>
        <w:t>被《湖州政务（每日要情）》和《</w:t>
      </w:r>
      <w:r>
        <w:rPr>
          <w:rFonts w:hint="default" w:ascii="Times New Roman" w:hAnsi="Times New Roman" w:eastAsia="仿宋_GB2312" w:cs="Times New Roman"/>
          <w:sz w:val="28"/>
          <w:szCs w:val="28"/>
          <w:lang w:val="en-US" w:eastAsia="zh-CN"/>
        </w:rPr>
        <w:t>湖州信息（近日要情）</w:t>
      </w:r>
      <w:r>
        <w:rPr>
          <w:rFonts w:hint="default" w:ascii="Times New Roman" w:hAnsi="Times New Roman" w:eastAsia="仿宋_GB2312" w:cs="Times New Roman"/>
          <w:sz w:val="28"/>
          <w:szCs w:val="28"/>
          <w:highlight w:val="none"/>
          <w:lang w:val="en-US" w:eastAsia="zh-CN"/>
        </w:rPr>
        <w:t>》采用；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20. 资本市场处提供的《</w:t>
      </w:r>
      <w:r>
        <w:rPr>
          <w:rFonts w:hint="default" w:ascii="Times New Roman" w:hAnsi="Times New Roman" w:eastAsia="仿宋_GB2312" w:cs="Times New Roman"/>
          <w:spacing w:val="-6"/>
          <w:sz w:val="28"/>
          <w:szCs w:val="28"/>
          <w:lang w:val="en-US" w:eastAsia="zh-CN"/>
        </w:rPr>
        <w:t>湖州市落实“凤凰行动”计划 推进多层次资本市场建设的主要做法、存在问题及意见建议</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highlight w:val="none"/>
          <w:lang w:val="en-US" w:eastAsia="zh-CN"/>
        </w:rPr>
        <w:t>被《专报省办信息》采用；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21. 南浔区金融办提供的《</w:t>
      </w:r>
      <w:r>
        <w:rPr>
          <w:rFonts w:hint="default" w:ascii="Times New Roman" w:hAnsi="Times New Roman" w:eastAsia="仿宋_GB2312" w:cs="Times New Roman"/>
          <w:sz w:val="28"/>
          <w:szCs w:val="28"/>
          <w:lang w:val="en-US" w:eastAsia="zh-CN"/>
        </w:rPr>
        <w:t>南浔区深耕绿色金融“试验田”打造绿色发展“新名片”</w:t>
      </w:r>
      <w:r>
        <w:rPr>
          <w:rFonts w:hint="default" w:ascii="Times New Roman" w:hAnsi="Times New Roman" w:eastAsia="仿宋_GB2312" w:cs="Times New Roman"/>
          <w:sz w:val="28"/>
          <w:szCs w:val="28"/>
          <w:highlight w:val="none"/>
          <w:lang w:val="en-US" w:eastAsia="zh-CN"/>
        </w:rPr>
        <w:t>》被《专报省办信息》采用；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22. 德清县金融办提供的《德清县落实“凤凰行动”做大做强资本市场》被《湖州政务（每日要情）》采用；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23. 长兴县金融办提供的《长兴县强化金融服务助推“小升规”》被《湖州政务（每日要情）》采用；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24. 安吉县金融办提供的《安吉县获批全省首支绿色债券的主要做法》被《湖州政务（专报信息）》采用，获市领导批示；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25. 安吉县金融办提供的</w:t>
      </w:r>
      <w:r>
        <w:rPr>
          <w:rFonts w:hint="default" w:ascii="Times New Roman" w:hAnsi="Times New Roman" w:eastAsia="仿宋_GB2312" w:cs="Times New Roman"/>
          <w:spacing w:val="-6"/>
          <w:sz w:val="28"/>
          <w:szCs w:val="28"/>
          <w:lang w:val="en-US" w:eastAsia="zh-CN"/>
        </w:rPr>
        <w:t>《安吉县三个“紧抓”推动企业股改上市》</w:t>
      </w:r>
      <w:r>
        <w:rPr>
          <w:rFonts w:hint="default" w:ascii="Times New Roman" w:hAnsi="Times New Roman" w:eastAsia="仿宋_GB2312" w:cs="Times New Roman"/>
          <w:sz w:val="28"/>
          <w:szCs w:val="28"/>
          <w:highlight w:val="none"/>
          <w:lang w:val="en-US" w:eastAsia="zh-CN"/>
        </w:rPr>
        <w:t>被《湖州政务（每日要情）》采用；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26. 安吉县金融办提供的</w:t>
      </w:r>
      <w:r>
        <w:rPr>
          <w:rFonts w:hint="default" w:ascii="Times New Roman" w:hAnsi="Times New Roman" w:eastAsia="仿宋_GB2312" w:cs="Times New Roman"/>
          <w:spacing w:val="-6"/>
          <w:sz w:val="28"/>
          <w:szCs w:val="28"/>
          <w:lang w:val="en-US" w:eastAsia="zh-CN"/>
        </w:rPr>
        <w:t>《绿色金融助力余村“两山”实践》</w:t>
      </w:r>
      <w:r>
        <w:rPr>
          <w:rFonts w:hint="default" w:ascii="Times New Roman" w:hAnsi="Times New Roman" w:eastAsia="仿宋_GB2312" w:cs="Times New Roman"/>
          <w:sz w:val="28"/>
          <w:szCs w:val="28"/>
          <w:highlight w:val="none"/>
          <w:lang w:val="en-US" w:eastAsia="zh-CN"/>
        </w:rPr>
        <w:t>被《省金融办工作简报（绿色金融专刊）》采用；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27. 湖州银行提供的《湖州市全省首推园区贷2.0版金融服务》被《湖州政务（每日要情）》和</w:t>
      </w:r>
      <w:r>
        <w:rPr>
          <w:rFonts w:hint="default" w:ascii="Times New Roman" w:hAnsi="Times New Roman" w:eastAsia="仿宋_GB2312" w:cs="Times New Roman"/>
          <w:sz w:val="28"/>
          <w:szCs w:val="28"/>
          <w:highlight w:val="none"/>
          <w:lang w:val="en-US" w:eastAsia="zh-CN"/>
        </w:rPr>
        <w:t>《专报省办信息》</w:t>
      </w:r>
      <w:r>
        <w:rPr>
          <w:rFonts w:hint="default" w:ascii="Times New Roman" w:hAnsi="Times New Roman" w:eastAsia="仿宋_GB2312" w:cs="Times New Roman"/>
          <w:sz w:val="28"/>
          <w:szCs w:val="28"/>
          <w:lang w:val="en-US" w:eastAsia="zh-CN"/>
        </w:rPr>
        <w:t>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28. 农业银行湖州分行提供的《农行湖州分行首创特聘“乡村振兴”导师项目》被《湖州信息（近日要情）》采用；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29. 建设银行湖州分行提供的《建行湖州分行首推绿色金融发展指数和星级评价体系》被《湖州信息（近日要情）》采用，获市领导批示；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30. 湖州银行提供的</w:t>
      </w:r>
      <w:r>
        <w:rPr>
          <w:rFonts w:hint="default" w:ascii="Times New Roman" w:hAnsi="Times New Roman" w:eastAsia="仿宋_GB2312" w:cs="Times New Roman"/>
          <w:sz w:val="28"/>
          <w:szCs w:val="28"/>
          <w:highlight w:val="none"/>
          <w:lang w:val="en-US" w:eastAsia="zh-CN"/>
        </w:rPr>
        <w:t>《湖州银行创新发展绿色金融的主要做法》</w:t>
      </w:r>
      <w:r>
        <w:rPr>
          <w:rFonts w:hint="default" w:ascii="Times New Roman" w:hAnsi="Times New Roman" w:eastAsia="仿宋_GB2312" w:cs="Times New Roman"/>
          <w:sz w:val="28"/>
          <w:szCs w:val="28"/>
          <w:lang w:val="en-US" w:eastAsia="zh-CN"/>
        </w:rPr>
        <w:t>被《省金融办工作简报（银行机构绿色金融专刊）》采用；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highlight w:val="none"/>
          <w:lang w:val="en-US" w:eastAsia="zh-CN"/>
        </w:rPr>
        <w:sectPr>
          <w:footerReference r:id="rId3" w:type="default"/>
          <w:pgSz w:w="11906" w:h="16838"/>
          <w:pgMar w:top="2041" w:right="1587" w:bottom="2041" w:left="1587" w:header="851" w:footer="992" w:gutter="0"/>
          <w:pgNumType w:fmt="decimal"/>
          <w:cols w:space="0" w:num="1"/>
          <w:rtlGutter w:val="0"/>
          <w:docGrid w:type="lines" w:linePitch="421" w:charSpace="0"/>
        </w:sectPr>
      </w:pPr>
      <w:r>
        <w:rPr>
          <w:rFonts w:hint="default" w:ascii="Times New Roman" w:hAnsi="Times New Roman" w:eastAsia="仿宋_GB2312" w:cs="Times New Roman"/>
          <w:sz w:val="28"/>
          <w:szCs w:val="28"/>
          <w:highlight w:val="none"/>
          <w:lang w:val="en-US" w:eastAsia="zh-CN"/>
        </w:rPr>
        <w:t>南浔银行提供的</w:t>
      </w:r>
      <w:r>
        <w:rPr>
          <w:rFonts w:hint="default" w:ascii="Times New Roman" w:hAnsi="Times New Roman" w:eastAsia="仿宋_GB2312" w:cs="Times New Roman"/>
          <w:spacing w:val="-6"/>
          <w:sz w:val="28"/>
          <w:szCs w:val="28"/>
          <w:lang w:val="en-US" w:eastAsia="zh-CN"/>
        </w:rPr>
        <w:t>《</w:t>
      </w:r>
      <w:r>
        <w:rPr>
          <w:rFonts w:hint="default" w:ascii="Times New Roman" w:hAnsi="Times New Roman" w:eastAsia="仿宋_GB2312" w:cs="Times New Roman"/>
          <w:sz w:val="28"/>
          <w:szCs w:val="28"/>
          <w:highlight w:val="none"/>
        </w:rPr>
        <w:t>南浔银行新增22项免费业务为企业和个人“减负”</w:t>
      </w:r>
      <w:r>
        <w:rPr>
          <w:rFonts w:hint="default" w:ascii="Times New Roman" w:hAnsi="Times New Roman" w:eastAsia="仿宋_GB2312" w:cs="Times New Roman"/>
          <w:spacing w:val="-6"/>
          <w:sz w:val="28"/>
          <w:szCs w:val="28"/>
          <w:lang w:val="en-US" w:eastAsia="zh-CN"/>
        </w:rPr>
        <w:t>》</w:t>
      </w:r>
      <w:r>
        <w:rPr>
          <w:rFonts w:hint="default" w:ascii="Times New Roman" w:hAnsi="Times New Roman" w:eastAsia="仿宋_GB2312" w:cs="Times New Roman"/>
          <w:sz w:val="28"/>
          <w:szCs w:val="28"/>
          <w:highlight w:val="none"/>
          <w:lang w:val="en-US" w:eastAsia="zh-CN"/>
        </w:rPr>
        <w:t>被《湖州政务（专报信息）》采用，获市领导批示。</w:t>
      </w:r>
    </w:p>
    <w:p>
      <w:pPr>
        <w:jc w:val="center"/>
        <w:rPr>
          <w:rFonts w:hint="default" w:ascii="Times New Roman" w:hAnsi="Times New Roman" w:eastAsia="方正小标宋简体" w:cs="Times New Roman"/>
          <w:sz w:val="30"/>
          <w:szCs w:val="30"/>
          <w:lang w:val="en-US" w:eastAsia="zh-CN"/>
        </w:rPr>
      </w:pPr>
      <w:r>
        <w:rPr>
          <w:rFonts w:hint="default" w:ascii="Times New Roman" w:hAnsi="Times New Roman" w:eastAsia="方正小标宋简体" w:cs="Times New Roman"/>
          <w:sz w:val="30"/>
          <w:szCs w:val="30"/>
          <w:lang w:val="en-US" w:eastAsia="zh-CN"/>
        </w:rPr>
        <w:t>2018年1-6月全市金融办系统政务信息录用情况明细表</w:t>
      </w:r>
    </w:p>
    <w:tbl>
      <w:tblPr>
        <w:tblStyle w:val="9"/>
        <w:tblW w:w="14490" w:type="dxa"/>
        <w:jc w:val="center"/>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200"/>
        <w:gridCol w:w="1350"/>
        <w:gridCol w:w="1470"/>
        <w:gridCol w:w="1200"/>
        <w:gridCol w:w="1215"/>
        <w:gridCol w:w="1470"/>
        <w:gridCol w:w="1230"/>
        <w:gridCol w:w="1230"/>
        <w:gridCol w:w="120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单位</w:t>
            </w:r>
          </w:p>
        </w:tc>
        <w:tc>
          <w:tcPr>
            <w:tcW w:w="1036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采用数量</w:t>
            </w:r>
          </w:p>
        </w:tc>
        <w:tc>
          <w:tcPr>
            <w:tcW w:w="24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报送数量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sz w:val="24"/>
                <w:szCs w:val="24"/>
                <w:vertAlign w:val="baseline"/>
                <w:lang w:val="en-US" w:eastAsia="zh-CN"/>
              </w:rPr>
            </w:pPr>
          </w:p>
        </w:tc>
        <w:tc>
          <w:tcPr>
            <w:tcW w:w="402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省金融办、省两办信息载体</w:t>
            </w:r>
          </w:p>
        </w:tc>
        <w:tc>
          <w:tcPr>
            <w:tcW w:w="388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市委市政府信息载体（录用/报省）</w:t>
            </w:r>
          </w:p>
        </w:tc>
        <w:tc>
          <w:tcPr>
            <w:tcW w:w="24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市金融办《工作简报》</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动态信息</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深度信息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动态信息</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深度信息</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省领导批示</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动态信息</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专报信息</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市领导批示</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动态信息</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深度信息</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吴兴区金融办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13</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南浔区金融办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德清县金融办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长兴县金融办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安吉县金融办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2</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14</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开发区金融办</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综合处</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13</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金融改革处</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资本市场处</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金融产业处</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r>
    </w:tbl>
    <w:p>
      <w:pPr>
        <w:jc w:val="cente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color w:val="auto"/>
          <w:sz w:val="30"/>
          <w:szCs w:val="30"/>
          <w:lang w:val="en-US" w:eastAsia="zh-CN"/>
        </w:rPr>
      </w:pPr>
    </w:p>
    <w:bookmarkEnd w:id="30"/>
    <w:bookmarkEnd w:id="31"/>
    <w:bookmarkEnd w:id="32"/>
    <w:bookmarkEnd w:id="33"/>
    <w:p>
      <w:pPr>
        <w:keepNext w:val="0"/>
        <w:keepLines w:val="0"/>
        <w:pageBreakBefore w:val="0"/>
        <w:kinsoku/>
        <w:wordWrap/>
        <w:overflowPunct/>
        <w:topLinePunct w:val="0"/>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Cs w:val="30"/>
        </w:rPr>
        <w:sectPr>
          <w:footerReference r:id="rId4" w:type="default"/>
          <w:pgSz w:w="16838" w:h="11906" w:orient="landscape"/>
          <w:pgMar w:top="1803" w:right="1440" w:bottom="1803" w:left="1298" w:header="851" w:footer="992" w:gutter="0"/>
          <w:pgNumType w:fmt="decimal"/>
          <w:cols w:space="0" w:num="1"/>
          <w:rtlGutter w:val="0"/>
          <w:docGrid w:type="lines" w:linePitch="415" w:charSpace="0"/>
        </w:sect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ind w:left="0" w:leftChars="0" w:firstLine="0" w:firstLineChars="0"/>
        <w:jc w:val="both"/>
        <w:rPr>
          <w:rFonts w:hint="default" w:ascii="Times New Roman" w:hAnsi="Times New Roman" w:cs="Times New Roman"/>
          <w:szCs w:val="30"/>
        </w:rPr>
      </w:pPr>
    </w:p>
    <w:p>
      <w:pPr>
        <w:spacing w:line="520" w:lineRule="exact"/>
        <w:ind w:left="900" w:leftChars="100" w:right="300" w:rightChars="100" w:hanging="600" w:hangingChars="200"/>
        <w:jc w:val="both"/>
        <w:rPr>
          <w:rFonts w:hint="default" w:ascii="Times New Roman" w:hAnsi="Times New Roman" w:cs="Times New Roman"/>
          <w:sz w:val="28"/>
          <w:szCs w:val="28"/>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68580</wp:posOffset>
                </wp:positionV>
                <wp:extent cx="5734050" cy="0"/>
                <wp:effectExtent l="0" t="0" r="0" b="0"/>
                <wp:wrapNone/>
                <wp:docPr id="1" name="直线 5"/>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5.4pt;height:0pt;width:451.5pt;z-index:251660288;mso-width-relative:page;mso-height-relative:page;" filled="f" stroked="t" coordsize="21600,21600" o:gfxdata="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Crg01QAAAAkBAAAPAAAAAAAAAAEAIAAAACIAAABkcnMv&#10;ZG93bnJldi54bWxQSwECFAAUAAAACACHTuJA5LKLHc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报：市委办，市人大办，市府办，市政协办，省金融办。</w:t>
      </w:r>
    </w:p>
    <w:p>
      <w:pPr>
        <w:spacing w:line="520" w:lineRule="exact"/>
        <w:ind w:left="860" w:leftChars="100" w:right="300" w:rightChars="100" w:hanging="560" w:hangingChars="200"/>
        <w:jc w:val="both"/>
        <w:rPr>
          <w:rFonts w:hint="default" w:ascii="Times New Roman" w:hAnsi="Times New Roman" w:cs="Times New Roman"/>
          <w:sz w:val="28"/>
          <w:szCs w:val="28"/>
        </w:rPr>
      </w:pPr>
      <w:r>
        <w:rPr>
          <w:rFonts w:hint="default" w:ascii="Times New Roman" w:hAnsi="Times New Roman" w:cs="Times New Roman"/>
          <w:sz w:val="28"/>
          <w:szCs w:val="28"/>
        </w:rPr>
        <w:t>发：办领导，各处室，各县区金融办，各有关金融机构。</w:t>
      </w:r>
    </w:p>
    <w:p>
      <w:pPr>
        <w:keepNext w:val="0"/>
        <w:keepLines w:val="0"/>
        <w:pageBreakBefore w:val="0"/>
        <w:widowControl w:val="0"/>
        <w:kinsoku/>
        <w:wordWrap/>
        <w:overflowPunct/>
        <w:topLinePunct w:val="0"/>
        <w:autoSpaceDE/>
        <w:autoSpaceDN/>
        <w:bidi w:val="0"/>
        <w:adjustRightInd/>
        <w:snapToGrid/>
        <w:spacing w:line="520" w:lineRule="exact"/>
        <w:ind w:right="300" w:rightChars="100" w:firstLine="0" w:firstLineChars="0"/>
        <w:jc w:val="center"/>
        <w:textAlignment w:val="auto"/>
        <w:outlineLvl w:val="9"/>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68580</wp:posOffset>
                </wp:positionV>
                <wp:extent cx="5734050" cy="0"/>
                <wp:effectExtent l="0" t="0" r="0" b="0"/>
                <wp:wrapNone/>
                <wp:docPr id="2" name="直线 6"/>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25pt;margin-top:5.4pt;height:0pt;width:451.5pt;z-index:251660288;mso-width-relative:page;mso-height-relative:page;" filled="f" stroked="t" coordsize="21600,21600" o:gfxdata="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UNXu1QAAAAkBAAAPAAAAAAAAAAEAIAAAACIAAABkcnMv&#10;ZG93bnJldi54bWxQSwECFAAUAAAACACHTuJA/9kQtM0BAACNAwAADgAAAAAAAAABACAAAAAkAQAA&#10;ZHJzL2Uyb0RvYy54bWxQSwUGAAAAAAYABgBZAQAAYwUAAAAA&#10;">
                <v:fill on="f" focussize="0,0"/>
                <v:stroke color="#000000" joinstyle="round"/>
                <v:imagedata o:title=""/>
                <o:lock v:ext="edit" aspectratio="f"/>
              </v:line>
            </w:pict>
          </mc:Fallback>
        </mc:AlternateContent>
      </w:r>
      <w:r>
        <w:rPr>
          <w:rFonts w:hint="default" w:ascii="Times New Roman" w:hAnsi="Times New Roman" w:cs="Times New Roman"/>
          <w:sz w:val="28"/>
          <w:szCs w:val="28"/>
        </w:rPr>
        <w:t xml:space="preserve">湖州市金融工作办公室综合处            </w:t>
      </w:r>
      <w:r>
        <w:rPr>
          <w:rFonts w:hint="default" w:ascii="Times New Roman" w:hAnsi="Times New Roman" w:cs="Times New Roman"/>
          <w:sz w:val="28"/>
          <w:szCs w:val="28"/>
          <w:lang w:val="en-US" w:eastAsia="zh-CN"/>
        </w:rPr>
        <w:t xml:space="preserve">   </w:t>
      </w:r>
      <w:r>
        <w:rPr>
          <w:rFonts w:hint="default" w:ascii="Times New Roman" w:hAnsi="Times New Roman" w:cs="Times New Roman"/>
          <w:szCs w:val="30"/>
        </w:rPr>
        <w:t>201</w:t>
      </w:r>
      <w:r>
        <w:rPr>
          <w:rFonts w:hint="default" w:ascii="Times New Roman" w:hAnsi="Times New Roman" w:cs="Times New Roman"/>
          <w:szCs w:val="30"/>
          <w:lang w:val="en-US" w:eastAsia="zh-CN"/>
        </w:rPr>
        <w:t>8</w:t>
      </w:r>
      <w:r>
        <w:rPr>
          <w:rFonts w:hint="default" w:ascii="Times New Roman" w:hAnsi="Times New Roman" w:cs="Times New Roman"/>
          <w:sz w:val="28"/>
          <w:szCs w:val="28"/>
        </w:rPr>
        <w:t>年</w:t>
      </w:r>
      <w:r>
        <w:rPr>
          <w:rFonts w:hint="default" w:ascii="Times New Roman" w:hAnsi="Times New Roman" w:cs="Times New Roman"/>
          <w:szCs w:val="30"/>
          <w:lang w:val="en-US" w:eastAsia="zh-CN"/>
        </w:rPr>
        <w:t>8</w:t>
      </w:r>
      <w:r>
        <w:rPr>
          <w:rFonts w:hint="default" w:ascii="Times New Roman" w:hAnsi="Times New Roman" w:cs="Times New Roman"/>
          <w:sz w:val="28"/>
          <w:szCs w:val="28"/>
        </w:rPr>
        <w:t>月</w:t>
      </w:r>
      <w:r>
        <w:rPr>
          <w:rFonts w:hint="eastAsia" w:ascii="Times New Roman" w:hAnsi="Times New Roman" w:cs="Times New Roman"/>
          <w:szCs w:val="30"/>
          <w:lang w:val="en-US" w:eastAsia="zh-CN"/>
        </w:rPr>
        <w:t>3</w:t>
      </w:r>
      <w:r>
        <w:rPr>
          <w:rFonts w:hint="default" w:ascii="Times New Roman" w:hAnsi="Times New Roman"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pBdr>
                        <w:top w:val="none" w:color="auto" w:sz="0" w:space="0"/>
                        <w:left w:val="none" w:color="auto" w:sz="0" w:space="0"/>
                        <w:bottom w:val="none" w:color="auto" w:sz="0" w:space="0"/>
                        <w:right w:val="none" w:color="auto" w:sz="0" w:space="0"/>
                      </w:pBd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F3044"/>
    <w:multiLevelType w:val="singleLevel"/>
    <w:tmpl w:val="83DF3044"/>
    <w:lvl w:ilvl="0" w:tentative="0">
      <w:start w:val="1"/>
      <w:numFmt w:val="decimal"/>
      <w:suff w:val="space"/>
      <w:lvlText w:val="%1."/>
      <w:lvlJc w:val="left"/>
    </w:lvl>
  </w:abstractNum>
  <w:abstractNum w:abstractNumId="1">
    <w:nsid w:val="2E3D687D"/>
    <w:multiLevelType w:val="singleLevel"/>
    <w:tmpl w:val="2E3D687D"/>
    <w:lvl w:ilvl="0" w:tentative="0">
      <w:start w:val="3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41DC6"/>
    <w:rsid w:val="22C904AF"/>
    <w:rsid w:val="4E9F5D2C"/>
    <w:rsid w:val="5A9D7942"/>
    <w:rsid w:val="5F5F4B77"/>
    <w:rsid w:val="62D4503E"/>
    <w:rsid w:val="6A741DC6"/>
    <w:rsid w:val="6D535020"/>
    <w:rsid w:val="718425A0"/>
    <w:rsid w:val="7DF708BC"/>
    <w:rsid w:val="7F375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00" w:firstLineChars="20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widowControl/>
      <w:spacing w:before="100" w:beforeAutospacing="1" w:after="100" w:afterAutospacing="1" w:line="240" w:lineRule="auto"/>
      <w:ind w:firstLine="0" w:firstLineChars="0"/>
      <w:jc w:val="left"/>
      <w:outlineLvl w:val="0"/>
    </w:pPr>
    <w:rPr>
      <w:rFonts w:ascii="宋体" w:hAnsi="宋体" w:eastAsia="方正小标宋简体" w:cs="宋体"/>
      <w:bCs/>
      <w:kern w:val="36"/>
      <w:sz w:val="32"/>
      <w:szCs w:val="48"/>
    </w:rPr>
  </w:style>
  <w:style w:type="paragraph" w:styleId="3">
    <w:name w:val="heading 2"/>
    <w:basedOn w:val="1"/>
    <w:next w:val="1"/>
    <w:link w:val="10"/>
    <w:unhideWhenUsed/>
    <w:qFormat/>
    <w:uiPriority w:val="0"/>
    <w:pPr>
      <w:keepNext/>
      <w:keepLines/>
      <w:spacing w:before="260" w:after="260" w:line="416" w:lineRule="atLeast"/>
      <w:outlineLvl w:val="1"/>
    </w:pPr>
    <w:rPr>
      <w:rFonts w:eastAsia="方正小标宋简体" w:asciiTheme="majorHAnsi" w:hAnsiTheme="majorHAnsi" w:cstheme="majorBidi"/>
      <w:bCs/>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5">
    <w:name w:val="toc 1"/>
    <w:basedOn w:val="1"/>
    <w:next w:val="1"/>
    <w:qFormat/>
    <w:uiPriority w:val="0"/>
    <w:pPr>
      <w:tabs>
        <w:tab w:val="right" w:leader="dot" w:pos="8296"/>
      </w:tabs>
      <w:ind w:firstLine="0" w:firstLineChars="0"/>
    </w:pPr>
    <w:rPr>
      <w:b/>
    </w:rPr>
  </w:style>
  <w:style w:type="paragraph" w:styleId="6">
    <w:name w:val="toc 2"/>
    <w:basedOn w:val="1"/>
    <w:next w:val="1"/>
    <w:qFormat/>
    <w:uiPriority w:val="0"/>
    <w:pPr>
      <w:tabs>
        <w:tab w:val="right" w:leader="dot" w:pos="8296"/>
      </w:tabs>
      <w:spacing w:line="500" w:lineRule="exact"/>
      <w:ind w:left="60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2 Char"/>
    <w:basedOn w:val="7"/>
    <w:link w:val="3"/>
    <w:semiHidden/>
    <w:qFormat/>
    <w:uiPriority w:val="9"/>
    <w:rPr>
      <w:rFonts w:eastAsia="方正小标宋简体" w:asciiTheme="majorHAnsi" w:hAnsiTheme="majorHAnsi" w:cstheme="majorBidi"/>
      <w:bCs/>
      <w:szCs w:val="32"/>
    </w:rPr>
  </w:style>
  <w:style w:type="paragraph" w:customStyle="1" w:styleId="11">
    <w:name w:val="TOC Heading"/>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6707</Words>
  <Characters>6885</Characters>
  <Lines>0</Lines>
  <Paragraphs>0</Paragraphs>
  <TotalTime>29</TotalTime>
  <ScaleCrop>false</ScaleCrop>
  <LinksUpToDate>false</LinksUpToDate>
  <CharactersWithSpaces>7465</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2018-08-02T07:42:00Z</dcterms:created>
  <dc:creator>Xiaoya</dc:creator>
  <cp:lastModifiedBy>sjrblf</cp:lastModifiedBy>
  <cp:lastPrinted>2018-08-02T11:13:00Z</cp:lastPrinted>
  <dcterms:modified xsi:type="dcterms:W3CDTF">2018-11-20T01:14:04Z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