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74" w:rsidRDefault="00F50F74" w:rsidP="00F50F74">
      <w:pPr>
        <w:pStyle w:val="a5"/>
        <w:shd w:val="clear" w:color="auto" w:fill="FFFFFF"/>
        <w:spacing w:before="0" w:beforeAutospacing="0" w:after="0" w:afterAutospacing="0"/>
        <w:jc w:val="center"/>
        <w:rPr>
          <w:color w:val="333333"/>
        </w:rPr>
      </w:pPr>
      <w:r>
        <w:rPr>
          <w:rStyle w:val="a6"/>
          <w:rFonts w:hint="eastAsia"/>
          <w:color w:val="333333"/>
          <w:sz w:val="36"/>
          <w:szCs w:val="36"/>
        </w:rPr>
        <w:t>国</w:t>
      </w:r>
      <w:r>
        <w:rPr>
          <w:rFonts w:hint="eastAsia"/>
          <w:color w:val="333333"/>
          <w:sz w:val="20"/>
          <w:szCs w:val="20"/>
        </w:rPr>
        <w:t> </w:t>
      </w:r>
      <w:proofErr w:type="gramStart"/>
      <w:r>
        <w:rPr>
          <w:rStyle w:val="a6"/>
          <w:rFonts w:hint="eastAsia"/>
          <w:color w:val="333333"/>
          <w:sz w:val="36"/>
          <w:szCs w:val="36"/>
        </w:rPr>
        <w:t>务</w:t>
      </w:r>
      <w:proofErr w:type="gramEnd"/>
      <w:r>
        <w:rPr>
          <w:rFonts w:hint="eastAsia"/>
          <w:color w:val="333333"/>
          <w:sz w:val="20"/>
          <w:szCs w:val="20"/>
        </w:rPr>
        <w:t> </w:t>
      </w:r>
      <w:r>
        <w:rPr>
          <w:rStyle w:val="a6"/>
          <w:rFonts w:hint="eastAsia"/>
          <w:color w:val="333333"/>
          <w:sz w:val="36"/>
          <w:szCs w:val="36"/>
        </w:rPr>
        <w:t>院</w:t>
      </w:r>
      <w:r>
        <w:rPr>
          <w:rFonts w:hint="eastAsia"/>
          <w:color w:val="333333"/>
          <w:sz w:val="20"/>
          <w:szCs w:val="20"/>
        </w:rPr>
        <w:t> </w:t>
      </w:r>
      <w:r>
        <w:rPr>
          <w:rStyle w:val="a6"/>
          <w:rFonts w:hint="eastAsia"/>
          <w:color w:val="333333"/>
          <w:sz w:val="36"/>
          <w:szCs w:val="36"/>
        </w:rPr>
        <w:t>关</w:t>
      </w:r>
      <w:r>
        <w:rPr>
          <w:rFonts w:hint="eastAsia"/>
          <w:color w:val="333333"/>
          <w:sz w:val="20"/>
          <w:szCs w:val="20"/>
        </w:rPr>
        <w:t> </w:t>
      </w:r>
      <w:r>
        <w:rPr>
          <w:rStyle w:val="a6"/>
          <w:rFonts w:hint="eastAsia"/>
          <w:color w:val="333333"/>
          <w:sz w:val="36"/>
          <w:szCs w:val="36"/>
        </w:rPr>
        <w:t>于</w:t>
      </w:r>
      <w:r>
        <w:rPr>
          <w:rFonts w:hint="eastAsia"/>
          <w:color w:val="333333"/>
          <w:sz w:val="20"/>
          <w:szCs w:val="20"/>
        </w:rPr>
        <w:t> </w:t>
      </w:r>
      <w:r>
        <w:rPr>
          <w:rStyle w:val="a6"/>
          <w:rFonts w:hint="eastAsia"/>
          <w:color w:val="333333"/>
          <w:sz w:val="36"/>
          <w:szCs w:val="36"/>
        </w:rPr>
        <w:t>促</w:t>
      </w:r>
      <w:r>
        <w:rPr>
          <w:rFonts w:hint="eastAsia"/>
          <w:color w:val="333333"/>
          <w:sz w:val="20"/>
          <w:szCs w:val="20"/>
        </w:rPr>
        <w:t> </w:t>
      </w:r>
      <w:r>
        <w:rPr>
          <w:rStyle w:val="a6"/>
          <w:rFonts w:hint="eastAsia"/>
          <w:color w:val="333333"/>
          <w:sz w:val="36"/>
          <w:szCs w:val="36"/>
        </w:rPr>
        <w:t>进</w:t>
      </w:r>
      <w:r>
        <w:rPr>
          <w:rFonts w:hint="eastAsia"/>
          <w:color w:val="333333"/>
          <w:sz w:val="20"/>
          <w:szCs w:val="20"/>
        </w:rPr>
        <w:t> </w:t>
      </w:r>
      <w:r>
        <w:rPr>
          <w:rStyle w:val="a6"/>
          <w:rFonts w:hint="eastAsia"/>
          <w:color w:val="333333"/>
          <w:sz w:val="36"/>
          <w:szCs w:val="36"/>
        </w:rPr>
        <w:t>市</w:t>
      </w:r>
      <w:r>
        <w:rPr>
          <w:rFonts w:hint="eastAsia"/>
          <w:color w:val="333333"/>
          <w:sz w:val="20"/>
          <w:szCs w:val="20"/>
        </w:rPr>
        <w:t> </w:t>
      </w:r>
      <w:r>
        <w:rPr>
          <w:rStyle w:val="a6"/>
          <w:rFonts w:hint="eastAsia"/>
          <w:color w:val="333333"/>
          <w:sz w:val="36"/>
          <w:szCs w:val="36"/>
        </w:rPr>
        <w:t>场</w:t>
      </w:r>
      <w:r>
        <w:rPr>
          <w:rFonts w:hint="eastAsia"/>
          <w:color w:val="333333"/>
          <w:sz w:val="20"/>
          <w:szCs w:val="20"/>
        </w:rPr>
        <w:t> </w:t>
      </w:r>
      <w:r>
        <w:rPr>
          <w:rStyle w:val="a6"/>
          <w:rFonts w:hint="eastAsia"/>
          <w:color w:val="333333"/>
          <w:sz w:val="36"/>
          <w:szCs w:val="36"/>
        </w:rPr>
        <w:t>公</w:t>
      </w:r>
      <w:r>
        <w:rPr>
          <w:rFonts w:hint="eastAsia"/>
          <w:color w:val="333333"/>
          <w:sz w:val="20"/>
          <w:szCs w:val="20"/>
        </w:rPr>
        <w:t> </w:t>
      </w:r>
      <w:r>
        <w:rPr>
          <w:rStyle w:val="a6"/>
          <w:rFonts w:hint="eastAsia"/>
          <w:color w:val="333333"/>
          <w:sz w:val="36"/>
          <w:szCs w:val="36"/>
        </w:rPr>
        <w:t>平</w:t>
      </w:r>
      <w:r>
        <w:rPr>
          <w:rFonts w:hint="eastAsia"/>
          <w:color w:val="333333"/>
          <w:sz w:val="20"/>
          <w:szCs w:val="20"/>
        </w:rPr>
        <w:t> </w:t>
      </w:r>
      <w:r>
        <w:rPr>
          <w:rStyle w:val="a6"/>
          <w:rFonts w:hint="eastAsia"/>
          <w:color w:val="333333"/>
          <w:sz w:val="36"/>
          <w:szCs w:val="36"/>
        </w:rPr>
        <w:t>竞</w:t>
      </w:r>
      <w:r>
        <w:rPr>
          <w:rFonts w:hint="eastAsia"/>
          <w:color w:val="333333"/>
          <w:sz w:val="20"/>
          <w:szCs w:val="20"/>
        </w:rPr>
        <w:t> </w:t>
      </w:r>
      <w:r>
        <w:rPr>
          <w:rStyle w:val="a6"/>
          <w:rFonts w:hint="eastAsia"/>
          <w:color w:val="333333"/>
          <w:sz w:val="36"/>
          <w:szCs w:val="36"/>
        </w:rPr>
        <w:t>争</w:t>
      </w:r>
      <w:r>
        <w:rPr>
          <w:rFonts w:hint="eastAsia"/>
          <w:b/>
          <w:bCs/>
          <w:color w:val="333333"/>
          <w:sz w:val="36"/>
          <w:szCs w:val="36"/>
        </w:rPr>
        <w:br/>
      </w:r>
      <w:r>
        <w:rPr>
          <w:rStyle w:val="a6"/>
          <w:rFonts w:hint="eastAsia"/>
          <w:color w:val="333333"/>
          <w:sz w:val="36"/>
          <w:szCs w:val="36"/>
        </w:rPr>
        <w:t>维护市场正常秩序的若干意见</w:t>
      </w:r>
      <w:r>
        <w:rPr>
          <w:rFonts w:hint="eastAsia"/>
          <w:b/>
          <w:bCs/>
          <w:color w:val="333333"/>
          <w:sz w:val="36"/>
          <w:szCs w:val="36"/>
        </w:rPr>
        <w:br/>
      </w:r>
      <w:r>
        <w:rPr>
          <w:rFonts w:ascii="楷体_GB2312" w:eastAsia="楷体_GB2312" w:hint="eastAsia"/>
          <w:color w:val="333333"/>
        </w:rPr>
        <w:t>国发〔2014〕20号</w:t>
      </w:r>
    </w:p>
    <w:p w:rsidR="00F50F74" w:rsidRDefault="00F50F74" w:rsidP="00F50F74">
      <w:pPr>
        <w:pStyle w:val="a5"/>
        <w:shd w:val="clear" w:color="auto" w:fill="FFFFFF"/>
        <w:spacing w:before="0" w:beforeAutospacing="0" w:after="0" w:afterAutospacing="0"/>
        <w:rPr>
          <w:rFonts w:hint="eastAsia"/>
          <w:color w:val="333333"/>
        </w:rPr>
      </w:pPr>
      <w:r>
        <w:rPr>
          <w:rFonts w:hint="eastAsia"/>
          <w:color w:val="333333"/>
        </w:rPr>
        <w:t>各省、自治区、直辖市人民政府，国务院各部委、各直属机构：</w:t>
      </w:r>
      <w:r>
        <w:rPr>
          <w:rFonts w:hint="eastAsia"/>
          <w:color w:val="333333"/>
        </w:rPr>
        <w:br/>
        <w:t xml:space="preserve">　　按照《中共中央关于全面深化改革若干重大问题的决定》精神、国务院机构改革和职能转变要求，现就完善市场监管体系，促进市场公平竞争，维护市场正常秩序提出以下意见。</w:t>
      </w:r>
      <w:r>
        <w:rPr>
          <w:rFonts w:hint="eastAsia"/>
          <w:color w:val="333333"/>
        </w:rPr>
        <w:br/>
        <w:t xml:space="preserve">　　</w:t>
      </w:r>
      <w:r>
        <w:rPr>
          <w:rStyle w:val="a6"/>
          <w:rFonts w:hint="eastAsia"/>
          <w:color w:val="333333"/>
        </w:rPr>
        <w:t>一、总体要求</w:t>
      </w:r>
      <w:r>
        <w:rPr>
          <w:rFonts w:hint="eastAsia"/>
          <w:b/>
          <w:bCs/>
          <w:color w:val="333333"/>
        </w:rPr>
        <w:br/>
      </w:r>
      <w:r>
        <w:rPr>
          <w:rFonts w:hint="eastAsia"/>
          <w:color w:val="333333"/>
        </w:rPr>
        <w:t xml:space="preserve">　　</w:t>
      </w:r>
      <w:r>
        <w:rPr>
          <w:rFonts w:ascii="楷体_GB2312" w:eastAsia="楷体_GB2312" w:hint="eastAsia"/>
          <w:color w:val="333333"/>
        </w:rPr>
        <w:t>（一）指导思想。</w:t>
      </w:r>
      <w:r>
        <w:rPr>
          <w:rFonts w:ascii="楷体_GB2312" w:eastAsia="楷体_GB2312" w:hint="eastAsia"/>
          <w:color w:val="333333"/>
        </w:rPr>
        <w:br/>
      </w:r>
      <w:r>
        <w:rPr>
          <w:rFonts w:hint="eastAsia"/>
          <w:color w:val="333333"/>
        </w:rPr>
        <w:t xml:space="preserve">　　以邓小平理论、“三个代表”重要思想、科学发展观为指导，深入学习领会党的十八大、十八届二中、三中全会精神，贯彻落实党中央和国务院的各项决策部署，围绕使市场在资源配置中起决定性作用和更好发挥政府作用，着力解决市场体系不完善、政府干预过多和监管不到位问题，坚持放管并重，实行宽进严管，激发市场主体活力，平等保护各类市场主体合法权益，维护公平竞争的市场秩序，促进经济社会持续健康发展。</w:t>
      </w:r>
      <w:r>
        <w:rPr>
          <w:rFonts w:hint="eastAsia"/>
          <w:color w:val="333333"/>
        </w:rPr>
        <w:br/>
        <w:t xml:space="preserve">　　</w:t>
      </w:r>
      <w:r>
        <w:rPr>
          <w:rFonts w:ascii="楷体_GB2312" w:eastAsia="楷体_GB2312" w:hint="eastAsia"/>
          <w:color w:val="333333"/>
        </w:rPr>
        <w:t>（二）基本原则。</w:t>
      </w:r>
      <w:r>
        <w:rPr>
          <w:rFonts w:ascii="楷体_GB2312" w:eastAsia="楷体_GB2312" w:hint="eastAsia"/>
          <w:color w:val="333333"/>
        </w:rPr>
        <w:br/>
      </w:r>
      <w:r>
        <w:rPr>
          <w:rFonts w:hint="eastAsia"/>
          <w:color w:val="333333"/>
        </w:rPr>
        <w:t xml:space="preserve">　　</w:t>
      </w:r>
      <w:r>
        <w:rPr>
          <w:rFonts w:ascii="楷体_GB2312" w:eastAsia="楷体_GB2312" w:hint="eastAsia"/>
          <w:color w:val="333333"/>
        </w:rPr>
        <w:t>简政放权。</w:t>
      </w:r>
      <w:r>
        <w:rPr>
          <w:rFonts w:hint="eastAsia"/>
          <w:color w:val="333333"/>
        </w:rPr>
        <w:t>充分发挥市场在资源配置中的决定性作用，把该放的权力放开放到位，降低准入门槛，促进就业创业。法不禁止的，市场主体即可为；法未授权的，政府部门不能为。</w:t>
      </w:r>
      <w:r>
        <w:rPr>
          <w:rFonts w:hint="eastAsia"/>
          <w:color w:val="333333"/>
        </w:rPr>
        <w:br/>
        <w:t xml:space="preserve">　　</w:t>
      </w:r>
      <w:r>
        <w:rPr>
          <w:rFonts w:ascii="楷体_GB2312" w:eastAsia="楷体_GB2312" w:hint="eastAsia"/>
          <w:color w:val="333333"/>
        </w:rPr>
        <w:t>依法监管。</w:t>
      </w:r>
      <w:r>
        <w:rPr>
          <w:rFonts w:hint="eastAsia"/>
          <w:color w:val="333333"/>
        </w:rPr>
        <w:t>更好发挥政府作用，坚持运用法治思维和法治方式履行市场监管职能，加强事中事后监管，推进市场监管制度化、规范化、程序化，建设法治化市场环境。</w:t>
      </w:r>
      <w:r>
        <w:rPr>
          <w:rFonts w:hint="eastAsia"/>
          <w:color w:val="333333"/>
        </w:rPr>
        <w:br/>
        <w:t xml:space="preserve">　　</w:t>
      </w:r>
      <w:r>
        <w:rPr>
          <w:rFonts w:ascii="楷体_GB2312" w:eastAsia="楷体_GB2312" w:hint="eastAsia"/>
          <w:color w:val="333333"/>
        </w:rPr>
        <w:t>公正透明。</w:t>
      </w:r>
      <w:r>
        <w:rPr>
          <w:rFonts w:hint="eastAsia"/>
          <w:color w:val="333333"/>
        </w:rPr>
        <w:t>各类市场主体权利平等、机会平等、规则平等，政府监管标准公开、程序公开、结果公开，保障市场主体和社会公众的知情权、参与权、监督权。</w:t>
      </w:r>
      <w:r>
        <w:rPr>
          <w:rFonts w:hint="eastAsia"/>
          <w:color w:val="333333"/>
        </w:rPr>
        <w:br/>
        <w:t xml:space="preserve">　　</w:t>
      </w:r>
      <w:r>
        <w:rPr>
          <w:rFonts w:ascii="楷体_GB2312" w:eastAsia="楷体_GB2312" w:hint="eastAsia"/>
          <w:color w:val="333333"/>
        </w:rPr>
        <w:t>权责一致。</w:t>
      </w:r>
      <w:r>
        <w:rPr>
          <w:rFonts w:hint="eastAsia"/>
          <w:color w:val="333333"/>
        </w:rPr>
        <w:t>科学划分各级政府及其部门市场监管职责；法有规定的，政府部门必须为。建立健全监管制度，落实市场主体行为规范责任、部门市场监管责任和属地政府领导责任。</w:t>
      </w:r>
      <w:r>
        <w:rPr>
          <w:rFonts w:hint="eastAsia"/>
          <w:color w:val="333333"/>
        </w:rPr>
        <w:br/>
        <w:t xml:space="preserve">　　</w:t>
      </w:r>
      <w:r>
        <w:rPr>
          <w:rFonts w:ascii="楷体_GB2312" w:eastAsia="楷体_GB2312" w:hint="eastAsia"/>
          <w:color w:val="333333"/>
        </w:rPr>
        <w:t>社会共治。</w:t>
      </w:r>
      <w:r>
        <w:rPr>
          <w:rFonts w:hint="eastAsia"/>
          <w:color w:val="333333"/>
        </w:rPr>
        <w:t>充分发挥法律法规的规范作用、行业组织的自律作用、舆论和社会公众的监督作用，实现社会共同治理，推动市场主体自我约束、诚信经营。</w:t>
      </w:r>
      <w:r>
        <w:rPr>
          <w:rFonts w:hint="eastAsia"/>
          <w:color w:val="333333"/>
        </w:rPr>
        <w:br/>
        <w:t xml:space="preserve">　　</w:t>
      </w:r>
      <w:r>
        <w:rPr>
          <w:rFonts w:ascii="楷体_GB2312" w:eastAsia="楷体_GB2312" w:hint="eastAsia"/>
          <w:color w:val="333333"/>
        </w:rPr>
        <w:t>（三）总体目标。</w:t>
      </w:r>
      <w:r>
        <w:rPr>
          <w:rFonts w:ascii="楷体_GB2312" w:eastAsia="楷体_GB2312" w:hint="eastAsia"/>
          <w:color w:val="333333"/>
        </w:rPr>
        <w:br/>
      </w:r>
      <w:r>
        <w:rPr>
          <w:rFonts w:hint="eastAsia"/>
          <w:color w:val="333333"/>
        </w:rPr>
        <w:t xml:space="preserve">　　立足于促进企业自主经营、公平竞争，消费者自由选择、自主消费，商品和要素自由流动、平等交换，建设统一开放、竞争有序、诚信守法、监管有力的现代市场体系，加快形成权责明确、公平公正、透明高效、法治保障的市场监管格局，到2020年建成体制比较成熟、制度更加定型的市场监管体系。</w:t>
      </w:r>
      <w:r>
        <w:rPr>
          <w:rFonts w:hint="eastAsia"/>
          <w:color w:val="333333"/>
        </w:rPr>
        <w:br/>
        <w:t xml:space="preserve">　　</w:t>
      </w:r>
      <w:r>
        <w:rPr>
          <w:rStyle w:val="a6"/>
          <w:rFonts w:hint="eastAsia"/>
          <w:color w:val="333333"/>
        </w:rPr>
        <w:t>二、放宽市场准入</w:t>
      </w:r>
      <w:r>
        <w:rPr>
          <w:rFonts w:hint="eastAsia"/>
          <w:b/>
          <w:bCs/>
          <w:color w:val="333333"/>
        </w:rPr>
        <w:br/>
      </w:r>
      <w:r>
        <w:rPr>
          <w:rFonts w:hint="eastAsia"/>
          <w:color w:val="333333"/>
        </w:rPr>
        <w:t xml:space="preserve">　　凡是市场主体基于自愿的投资经营和</w:t>
      </w:r>
      <w:proofErr w:type="gramStart"/>
      <w:r>
        <w:rPr>
          <w:rFonts w:hint="eastAsia"/>
          <w:color w:val="333333"/>
        </w:rPr>
        <w:t>民商</w:t>
      </w:r>
      <w:proofErr w:type="gramEnd"/>
      <w:r>
        <w:rPr>
          <w:rFonts w:hint="eastAsia"/>
          <w:color w:val="333333"/>
        </w:rPr>
        <w:t>事行为，只要不属于法律法规禁止进入的领域，不损害第三方利益、社会公共利益和国家安全，政府不得限制进入。</w:t>
      </w:r>
      <w:r>
        <w:rPr>
          <w:rFonts w:hint="eastAsia"/>
          <w:color w:val="333333"/>
        </w:rPr>
        <w:br/>
        <w:t xml:space="preserve">　　</w:t>
      </w:r>
      <w:r>
        <w:rPr>
          <w:rFonts w:ascii="楷体_GB2312" w:eastAsia="楷体_GB2312" w:hint="eastAsia"/>
          <w:color w:val="333333"/>
        </w:rPr>
        <w:t>（四）改革市场准入制度。</w:t>
      </w:r>
      <w:r>
        <w:rPr>
          <w:rFonts w:hint="eastAsia"/>
          <w:color w:val="333333"/>
        </w:rPr>
        <w:t>制定市场准入负面清单，国务院以清单方式明确列出禁止和限制投资经营的行业、领域、业务等，清单以外的，各类市场主体皆可依法平等进入；地方政府需进行个别调整的，由省级政府报经国务院批准。</w:t>
      </w:r>
      <w:r>
        <w:rPr>
          <w:rFonts w:ascii="楷体_GB2312" w:eastAsia="楷体_GB2312" w:hint="eastAsia"/>
          <w:color w:val="333333"/>
        </w:rPr>
        <w:t>（发展改革委、商务部牵头负责）</w:t>
      </w:r>
      <w:r>
        <w:rPr>
          <w:rFonts w:hint="eastAsia"/>
          <w:color w:val="333333"/>
        </w:rPr>
        <w:t>改革工商登记制度，推进工商注册制度便利化，大力减少前置审批，</w:t>
      </w:r>
      <w:proofErr w:type="gramStart"/>
      <w:r>
        <w:rPr>
          <w:rFonts w:hint="eastAsia"/>
          <w:color w:val="333333"/>
        </w:rPr>
        <w:t>由先证后</w:t>
      </w:r>
      <w:proofErr w:type="gramEnd"/>
      <w:r>
        <w:rPr>
          <w:rFonts w:hint="eastAsia"/>
          <w:color w:val="333333"/>
        </w:rPr>
        <w:t>照改为先照后证。</w:t>
      </w:r>
      <w:r>
        <w:rPr>
          <w:rFonts w:ascii="楷体_GB2312" w:eastAsia="楷体_GB2312" w:hint="eastAsia"/>
          <w:color w:val="333333"/>
        </w:rPr>
        <w:t>（工商总局、中央编办牵头负责）</w:t>
      </w:r>
      <w:r>
        <w:rPr>
          <w:rFonts w:hint="eastAsia"/>
          <w:color w:val="333333"/>
        </w:rPr>
        <w:lastRenderedPageBreak/>
        <w:t>简化手续，缩短时限，鼓励探索实行工商营业执照、组织机构代码证和税务登记证“三证合一”登记制度。</w:t>
      </w:r>
      <w:r>
        <w:rPr>
          <w:rFonts w:ascii="楷体_GB2312" w:eastAsia="楷体_GB2312" w:hint="eastAsia"/>
          <w:color w:val="333333"/>
        </w:rPr>
        <w:t>（县级以上地方各级人民政府负责）</w:t>
      </w:r>
      <w:r>
        <w:rPr>
          <w:rFonts w:hint="eastAsia"/>
          <w:color w:val="333333"/>
        </w:rPr>
        <w:t>完善节能节地节水、环境、技术、安全等市场准入标准。探索对外商投资实行准入前国民待遇加负面清单的管理模式。</w:t>
      </w:r>
      <w:r>
        <w:rPr>
          <w:rFonts w:ascii="楷体_GB2312" w:eastAsia="楷体_GB2312" w:hint="eastAsia"/>
          <w:color w:val="333333"/>
        </w:rPr>
        <w:t>（发展改革委、商务部牵头负责）</w:t>
      </w:r>
      <w:r>
        <w:rPr>
          <w:rFonts w:hint="eastAsia"/>
          <w:color w:val="333333"/>
        </w:rPr>
        <w:br/>
        <w:t xml:space="preserve">　　</w:t>
      </w:r>
      <w:r>
        <w:rPr>
          <w:rFonts w:ascii="楷体_GB2312" w:eastAsia="楷体_GB2312" w:hint="eastAsia"/>
          <w:color w:val="333333"/>
        </w:rPr>
        <w:t>（五）大力减少行政审批事项。</w:t>
      </w:r>
      <w:r>
        <w:rPr>
          <w:rFonts w:hint="eastAsia"/>
          <w:color w:val="333333"/>
        </w:rPr>
        <w:t>投资审批、生产经营活动审批、资质资格许可和认定、评比达标表彰、评估等，要严格按照行政许可法和国务院规定的程序设定；凡违反规定程序设定的应一律取消。</w:t>
      </w:r>
      <w:r>
        <w:rPr>
          <w:rFonts w:ascii="楷体_GB2312" w:eastAsia="楷体_GB2312" w:hint="eastAsia"/>
          <w:color w:val="333333"/>
        </w:rPr>
        <w:t>（中央编办、法制办、人力资源社会保障部牵头负责）</w:t>
      </w:r>
      <w:r>
        <w:rPr>
          <w:rFonts w:hint="eastAsia"/>
          <w:color w:val="333333"/>
        </w:rPr>
        <w:t>放开竞争性环节价格。</w:t>
      </w:r>
      <w:r>
        <w:rPr>
          <w:rFonts w:ascii="楷体_GB2312" w:eastAsia="楷体_GB2312" w:hint="eastAsia"/>
          <w:color w:val="333333"/>
        </w:rPr>
        <w:t>（发展改革委牵头负责）</w:t>
      </w:r>
      <w:r>
        <w:rPr>
          <w:rFonts w:hint="eastAsia"/>
          <w:color w:val="333333"/>
        </w:rPr>
        <w:t>省级人民政府设定临时性的行政许可，要严格限定在控制危险、配置有限公共资源和提供特定信誉、身份、证明的事项，并须依照法定程序设定。</w:t>
      </w:r>
      <w:r>
        <w:rPr>
          <w:rFonts w:ascii="楷体_GB2312" w:eastAsia="楷体_GB2312" w:hint="eastAsia"/>
          <w:color w:val="333333"/>
        </w:rPr>
        <w:t>（省级人民政府负责）</w:t>
      </w:r>
      <w:r>
        <w:rPr>
          <w:rFonts w:hint="eastAsia"/>
          <w:color w:val="333333"/>
        </w:rPr>
        <w:t>对现有行政审批前置环节的技术审查、评估、</w:t>
      </w:r>
      <w:proofErr w:type="gramStart"/>
      <w:r>
        <w:rPr>
          <w:rFonts w:hint="eastAsia"/>
          <w:color w:val="333333"/>
        </w:rPr>
        <w:t>鉴证</w:t>
      </w:r>
      <w:proofErr w:type="gramEnd"/>
      <w:r>
        <w:rPr>
          <w:rFonts w:hint="eastAsia"/>
          <w:color w:val="333333"/>
        </w:rPr>
        <w:t>、咨询等有偿中介服务事项进行全面清理，能取消的尽快予以取消；确需保留的，要规范时限和收费，并向社会公示。</w:t>
      </w:r>
      <w:r>
        <w:rPr>
          <w:rFonts w:ascii="楷体_GB2312" w:eastAsia="楷体_GB2312" w:hint="eastAsia"/>
          <w:color w:val="333333"/>
        </w:rPr>
        <w:t>（中央编办、发展改革委、财政部负责）</w:t>
      </w:r>
      <w:r>
        <w:rPr>
          <w:rFonts w:hint="eastAsia"/>
          <w:color w:val="333333"/>
        </w:rPr>
        <w:t>建立健全政务中心和网上办事大厅，集中办理行政审批，实行一个部门一个窗口对外，一级地方政府“一站式”服务，减少环节，提高效率。</w:t>
      </w:r>
      <w:r>
        <w:rPr>
          <w:rFonts w:ascii="楷体_GB2312" w:eastAsia="楷体_GB2312" w:hint="eastAsia"/>
          <w:color w:val="333333"/>
        </w:rPr>
        <w:t>（县级以上地方各级人民政府负责）</w:t>
      </w:r>
      <w:r>
        <w:rPr>
          <w:rFonts w:hint="eastAsia"/>
          <w:color w:val="333333"/>
        </w:rPr>
        <w:br/>
        <w:t xml:space="preserve">　　</w:t>
      </w:r>
      <w:r>
        <w:rPr>
          <w:rFonts w:ascii="楷体_GB2312" w:eastAsia="楷体_GB2312" w:hint="eastAsia"/>
          <w:color w:val="333333"/>
        </w:rPr>
        <w:t>（六）禁止变相审批。</w:t>
      </w:r>
      <w:r>
        <w:rPr>
          <w:rFonts w:hint="eastAsia"/>
          <w:color w:val="333333"/>
        </w:rPr>
        <w:t>严禁违法设定行政许可、增加行政许可条件和程序；严禁以备案、登记、注册、年检、监制、认定、认证、审定、指定、配号、换证等形式或者以非行政许可审批名义变相设定行政许可；严禁</w:t>
      </w:r>
      <w:proofErr w:type="gramStart"/>
      <w:r>
        <w:rPr>
          <w:rFonts w:hint="eastAsia"/>
          <w:color w:val="333333"/>
        </w:rPr>
        <w:t>借实施</w:t>
      </w:r>
      <w:proofErr w:type="gramEnd"/>
      <w:r>
        <w:rPr>
          <w:rFonts w:hint="eastAsia"/>
          <w:color w:val="333333"/>
        </w:rPr>
        <w:t>行政审批变相收费或者违法设定收费项目；严禁将属于行政审批的事项转为中介服务事项，搞变相审批、有偿服务；严禁以加强事中事后监管为名，变相恢复、上收已取消和下放的行政审批项目。</w:t>
      </w:r>
      <w:r>
        <w:rPr>
          <w:rFonts w:ascii="楷体_GB2312" w:eastAsia="楷体_GB2312" w:hint="eastAsia"/>
          <w:color w:val="333333"/>
        </w:rPr>
        <w:t>（中央编办、发展改革委、财政部、法制办按职责分工分别负责）</w:t>
      </w:r>
      <w:r>
        <w:rPr>
          <w:rFonts w:ascii="楷体_GB2312" w:eastAsia="楷体_GB2312" w:hint="eastAsia"/>
          <w:color w:val="333333"/>
        </w:rPr>
        <w:br/>
      </w:r>
      <w:r>
        <w:rPr>
          <w:rFonts w:hint="eastAsia"/>
          <w:color w:val="333333"/>
        </w:rPr>
        <w:t xml:space="preserve">　　</w:t>
      </w:r>
      <w:r>
        <w:rPr>
          <w:rFonts w:ascii="楷体_GB2312" w:eastAsia="楷体_GB2312" w:hint="eastAsia"/>
          <w:color w:val="333333"/>
        </w:rPr>
        <w:t>（七）打破地区封锁和行业垄断。</w:t>
      </w:r>
      <w:r>
        <w:rPr>
          <w:rFonts w:hint="eastAsia"/>
          <w:color w:val="333333"/>
        </w:rPr>
        <w:t>对各级政府和部门涉及市场准入、经营行为规范的法规、规章和规定进行全面清理，废除妨碍全国统一市场和公平竞争的规定和做法，纠正违反法律法规实行优惠政策招商的行为，纠正违反法律法规对外地产品或者服务设定歧视性准入条件及收费项目、规定歧视性价格及购买指定的产品、服务等行为。</w:t>
      </w:r>
      <w:r>
        <w:rPr>
          <w:rFonts w:ascii="楷体_GB2312" w:eastAsia="楷体_GB2312" w:hint="eastAsia"/>
          <w:color w:val="333333"/>
        </w:rPr>
        <w:t>（发展改革委、财政部、商务部牵头负责）</w:t>
      </w:r>
      <w:r>
        <w:rPr>
          <w:rFonts w:hint="eastAsia"/>
          <w:color w:val="333333"/>
        </w:rPr>
        <w:t>对公用事业和重要公共基础设施领域实行特许经营等方式，引入竞争机制，放开自然垄断行业竞争性业务。</w:t>
      </w:r>
      <w:r>
        <w:rPr>
          <w:rFonts w:ascii="楷体_GB2312" w:eastAsia="楷体_GB2312" w:hint="eastAsia"/>
          <w:color w:val="333333"/>
        </w:rPr>
        <w:t>（发展改革委牵头负责）</w:t>
      </w:r>
      <w:r>
        <w:rPr>
          <w:rFonts w:ascii="楷体_GB2312" w:eastAsia="楷体_GB2312" w:hint="eastAsia"/>
          <w:color w:val="333333"/>
        </w:rPr>
        <w:br/>
      </w:r>
      <w:r>
        <w:rPr>
          <w:rFonts w:hint="eastAsia"/>
          <w:color w:val="333333"/>
        </w:rPr>
        <w:t xml:space="preserve">　　</w:t>
      </w:r>
      <w:r>
        <w:rPr>
          <w:rFonts w:ascii="楷体_GB2312" w:eastAsia="楷体_GB2312" w:hint="eastAsia"/>
          <w:color w:val="333333"/>
        </w:rPr>
        <w:t>（八）完善市场退出机制。</w:t>
      </w:r>
      <w:r>
        <w:rPr>
          <w:rFonts w:hint="eastAsia"/>
          <w:color w:val="333333"/>
        </w:rPr>
        <w:t>对于违反法律法规禁止性规定的市场主体，对于达不到节能环保、安全生产、食品、药品、工程质量等强制性标准的市场主体，应当依法予以取缔，吊销相关证照。</w:t>
      </w:r>
      <w:r>
        <w:rPr>
          <w:rFonts w:ascii="楷体_GB2312" w:eastAsia="楷体_GB2312" w:hint="eastAsia"/>
          <w:color w:val="333333"/>
        </w:rPr>
        <w:t>（各相关市场监管部门按职责分工分别负责）</w:t>
      </w:r>
      <w:r>
        <w:rPr>
          <w:rFonts w:hint="eastAsia"/>
          <w:color w:val="333333"/>
        </w:rPr>
        <w:t>严格执行上市公司退市制度，完善企业破产制度，优化破产重整、和解、托管、清算等规则和程序，强化债务人的破产清算义务，推行竞争性选任破产管理人的办法，探索对资产数额不大、经营地域不广或者</w:t>
      </w:r>
      <w:proofErr w:type="gramStart"/>
      <w:r>
        <w:rPr>
          <w:rFonts w:hint="eastAsia"/>
          <w:color w:val="333333"/>
        </w:rPr>
        <w:t>特定小微企业</w:t>
      </w:r>
      <w:proofErr w:type="gramEnd"/>
      <w:r>
        <w:rPr>
          <w:rFonts w:hint="eastAsia"/>
          <w:color w:val="333333"/>
        </w:rPr>
        <w:t>实行简易破产程序。</w:t>
      </w:r>
      <w:r>
        <w:rPr>
          <w:rFonts w:ascii="楷体_GB2312" w:eastAsia="楷体_GB2312" w:hint="eastAsia"/>
          <w:color w:val="333333"/>
        </w:rPr>
        <w:t>（证监会、法制办按职责分工分别负责）</w:t>
      </w:r>
      <w:r>
        <w:rPr>
          <w:rFonts w:hint="eastAsia"/>
          <w:color w:val="333333"/>
        </w:rPr>
        <w:t>简化和完善企业注销流程，试行对个体工商户、未开业企业以及无债权债务企业实行简易注销程序。</w:t>
      </w:r>
      <w:r>
        <w:rPr>
          <w:rFonts w:ascii="楷体_GB2312" w:eastAsia="楷体_GB2312" w:hint="eastAsia"/>
          <w:color w:val="333333"/>
        </w:rPr>
        <w:t>（工商总局负责）</w:t>
      </w:r>
      <w:r>
        <w:rPr>
          <w:rFonts w:hint="eastAsia"/>
          <w:color w:val="333333"/>
        </w:rPr>
        <w:t>严格执行金融、食品药品、安全生产、新闻出版等领域违法人员从业禁止规定。抓紧制订试行儿童老年用品及交通运输、建筑工程等领域违法人员从业禁止规定。</w:t>
      </w:r>
      <w:r>
        <w:rPr>
          <w:rFonts w:ascii="楷体_GB2312" w:eastAsia="楷体_GB2312" w:hint="eastAsia"/>
          <w:color w:val="333333"/>
        </w:rPr>
        <w:t>（人民银行、银监会、证监会、保监会、食品药品监管总局、安全监管总局、新闻出版广电总局、质检总局、交通运输部、住房城乡建设部等部门按职责分工分别负责）</w:t>
      </w:r>
      <w:r>
        <w:rPr>
          <w:rFonts w:ascii="楷体_GB2312" w:eastAsia="楷体_GB2312" w:hint="eastAsia"/>
          <w:color w:val="333333"/>
        </w:rPr>
        <w:br/>
      </w:r>
      <w:r>
        <w:rPr>
          <w:rFonts w:hint="eastAsia"/>
          <w:color w:val="333333"/>
        </w:rPr>
        <w:t xml:space="preserve">　　</w:t>
      </w:r>
      <w:r>
        <w:rPr>
          <w:rStyle w:val="a6"/>
          <w:rFonts w:hint="eastAsia"/>
          <w:color w:val="333333"/>
        </w:rPr>
        <w:t>三、强化市场行为监管</w:t>
      </w:r>
      <w:r>
        <w:rPr>
          <w:rFonts w:hint="eastAsia"/>
          <w:b/>
          <w:bCs/>
          <w:color w:val="333333"/>
        </w:rPr>
        <w:br/>
      </w:r>
      <w:r>
        <w:rPr>
          <w:rFonts w:hint="eastAsia"/>
          <w:color w:val="333333"/>
        </w:rPr>
        <w:t xml:space="preserve">　　依法规范生产、经营、交易等市场行为，创新监管方式，保障公平竞争，促</w:t>
      </w:r>
      <w:r>
        <w:rPr>
          <w:rFonts w:hint="eastAsia"/>
          <w:color w:val="333333"/>
        </w:rPr>
        <w:lastRenderedPageBreak/>
        <w:t>进诚信守法，维护市场秩序。</w:t>
      </w:r>
      <w:r>
        <w:rPr>
          <w:rFonts w:hint="eastAsia"/>
          <w:color w:val="333333"/>
        </w:rPr>
        <w:br/>
        <w:t xml:space="preserve">　　</w:t>
      </w:r>
      <w:r>
        <w:rPr>
          <w:rFonts w:ascii="楷体_GB2312" w:eastAsia="楷体_GB2312" w:hint="eastAsia"/>
          <w:color w:val="333333"/>
        </w:rPr>
        <w:t>（九）强化生产经营者主体责任。</w:t>
      </w:r>
      <w:r>
        <w:rPr>
          <w:rFonts w:hint="eastAsia"/>
          <w:color w:val="333333"/>
        </w:rPr>
        <w:t>国务院有关部门要抓紧推动制修订有关条例，完善消费环节经营者首问和赔偿先付制度，建立企业产品和服务标准自我声明公开和监督制度，建立消费品生产经营企业产品安全事故强制报告制度，修订缺陷产品强制召回制度，建立生态环境损害责任制度，提请国务院审议。</w:t>
      </w:r>
      <w:r>
        <w:rPr>
          <w:rFonts w:ascii="楷体_GB2312" w:eastAsia="楷体_GB2312" w:hint="eastAsia"/>
          <w:color w:val="333333"/>
        </w:rPr>
        <w:t>（工商总局、质检总局、食品药品监管总局、环境保护部、林业局、法制办按职责分工分别负责）</w:t>
      </w:r>
      <w:r>
        <w:rPr>
          <w:rFonts w:hint="eastAsia"/>
          <w:color w:val="333333"/>
        </w:rPr>
        <w:t>试行扩大食品药品、生态环境、安全生产等领域的责任保险，形成风险分担的社会救济机制和专业组织评估、监控风险的市场监督机制。</w:t>
      </w:r>
      <w:r>
        <w:rPr>
          <w:rFonts w:ascii="楷体_GB2312" w:eastAsia="楷体_GB2312" w:hint="eastAsia"/>
          <w:color w:val="333333"/>
        </w:rPr>
        <w:t>（保监会牵头负责）</w:t>
      </w:r>
      <w:r>
        <w:rPr>
          <w:rFonts w:ascii="楷体_GB2312" w:eastAsia="楷体_GB2312" w:hint="eastAsia"/>
          <w:color w:val="333333"/>
        </w:rPr>
        <w:br/>
      </w:r>
      <w:r>
        <w:rPr>
          <w:rFonts w:hint="eastAsia"/>
          <w:color w:val="333333"/>
        </w:rPr>
        <w:t xml:space="preserve">　　</w:t>
      </w:r>
      <w:r>
        <w:rPr>
          <w:rFonts w:ascii="楷体_GB2312" w:eastAsia="楷体_GB2312" w:hint="eastAsia"/>
          <w:color w:val="333333"/>
        </w:rPr>
        <w:t>（十）强化依据标准监管。</w:t>
      </w:r>
      <w:r>
        <w:rPr>
          <w:rFonts w:hint="eastAsia"/>
          <w:color w:val="333333"/>
        </w:rPr>
        <w:t>加快推动修订标准化法，推进强制性标准体系改革，强化国家强制性标准管理。</w:t>
      </w:r>
      <w:r>
        <w:rPr>
          <w:rFonts w:ascii="楷体_GB2312" w:eastAsia="楷体_GB2312" w:hint="eastAsia"/>
          <w:color w:val="333333"/>
        </w:rPr>
        <w:t>（质检总局牵头负责）</w:t>
      </w:r>
      <w:r>
        <w:rPr>
          <w:rFonts w:hint="eastAsia"/>
          <w:color w:val="333333"/>
        </w:rPr>
        <w:t>强制性标准严格限定在保障人身健康和生命财产安全、国家安全、生态环境安全的范围。市场主体须严格执行强制性标准，市场监管部门须依据强制性标准严格监管执法。</w:t>
      </w:r>
      <w:r>
        <w:rPr>
          <w:rFonts w:ascii="楷体_GB2312" w:eastAsia="楷体_GB2312" w:hint="eastAsia"/>
          <w:color w:val="333333"/>
        </w:rPr>
        <w:t>（各相关市场监管部门按职责分工分别负责）</w:t>
      </w:r>
      <w:r>
        <w:rPr>
          <w:rFonts w:ascii="楷体_GB2312" w:eastAsia="楷体_GB2312" w:hint="eastAsia"/>
          <w:color w:val="333333"/>
        </w:rPr>
        <w:br/>
      </w:r>
      <w:r>
        <w:rPr>
          <w:rFonts w:hint="eastAsia"/>
          <w:color w:val="333333"/>
        </w:rPr>
        <w:t xml:space="preserve">　　</w:t>
      </w:r>
      <w:r>
        <w:rPr>
          <w:rFonts w:ascii="楷体_GB2312" w:eastAsia="楷体_GB2312" w:hint="eastAsia"/>
          <w:color w:val="333333"/>
        </w:rPr>
        <w:t>（十一）严厉惩处垄断行为和不正当竞争行为。</w:t>
      </w:r>
      <w:r>
        <w:rPr>
          <w:rFonts w:hint="eastAsia"/>
          <w:color w:val="333333"/>
        </w:rPr>
        <w:t>依照反垄断法、反不正当竞争法、价格法的有关规定，严肃查处损害竞争、损害消费者权益以及妨碍创新和技术进步的垄断协议、滥用市场支配地位行为；加大经营者集中反垄断审查力度，有效防范通过并购获取垄断地位并损害市场竞争的行为；改革自然垄断行业监管办法，强化垄断环节监管。严厉查处仿冒名牌、虚假宣传、价格欺诈、商业贿赂、违法有奖销售、商业诋毁、销售无合法进口证明商品等不正当竞争行为；依法保护各类知识产权，鼓励技术创新，打击侵犯知识产权和制售假冒伪劣商品的行为。</w:t>
      </w:r>
      <w:r>
        <w:rPr>
          <w:rFonts w:ascii="楷体_GB2312" w:eastAsia="楷体_GB2312" w:hint="eastAsia"/>
          <w:color w:val="333333"/>
        </w:rPr>
        <w:t>（商务部、发展改革委、工商总局、知识产权局等部门按职责分工分别负责）</w:t>
      </w:r>
      <w:r>
        <w:rPr>
          <w:rFonts w:ascii="楷体_GB2312" w:eastAsia="楷体_GB2312" w:hint="eastAsia"/>
          <w:color w:val="333333"/>
        </w:rPr>
        <w:br/>
      </w:r>
      <w:r>
        <w:rPr>
          <w:rFonts w:hint="eastAsia"/>
          <w:color w:val="333333"/>
        </w:rPr>
        <w:t xml:space="preserve">　　</w:t>
      </w:r>
      <w:r>
        <w:rPr>
          <w:rFonts w:ascii="楷体_GB2312" w:eastAsia="楷体_GB2312" w:hint="eastAsia"/>
          <w:color w:val="333333"/>
        </w:rPr>
        <w:t>（十二）强化风险管理。</w:t>
      </w:r>
      <w:r>
        <w:rPr>
          <w:rFonts w:hint="eastAsia"/>
          <w:color w:val="333333"/>
        </w:rPr>
        <w:t>加强对市场行为的风险监测分析，加快建立对高危行业、重点工程、重要商品及生产资料、重点领域的风险评估指标体系、风险监测预警和跟踪制度、风险管理防控联动机制。</w:t>
      </w:r>
      <w:r>
        <w:rPr>
          <w:rFonts w:ascii="楷体_GB2312" w:eastAsia="楷体_GB2312" w:hint="eastAsia"/>
          <w:color w:val="333333"/>
        </w:rPr>
        <w:t>（各相关市场监管部门按职责分工分别负责）</w:t>
      </w:r>
      <w:r>
        <w:rPr>
          <w:rFonts w:hint="eastAsia"/>
          <w:color w:val="333333"/>
        </w:rPr>
        <w:t>完善区域产品质量和生产安全风险警示制度。</w:t>
      </w:r>
      <w:r>
        <w:rPr>
          <w:rFonts w:ascii="楷体_GB2312" w:eastAsia="楷体_GB2312" w:hint="eastAsia"/>
          <w:color w:val="333333"/>
        </w:rPr>
        <w:t>（质检总局、工商总局、安全监管总局按职责分工分别负责）</w:t>
      </w:r>
      <w:r>
        <w:rPr>
          <w:rFonts w:hint="eastAsia"/>
          <w:color w:val="333333"/>
        </w:rPr>
        <w:t>依据风险程度，加强对发生事故几率高、损失重大的环节和领域的监管，防范区域性、行业性和系统性风险。</w:t>
      </w:r>
      <w:r>
        <w:rPr>
          <w:rFonts w:ascii="楷体_GB2312" w:eastAsia="楷体_GB2312" w:hint="eastAsia"/>
          <w:color w:val="333333"/>
        </w:rPr>
        <w:t>（各相关市场监管部门按职责分工分别负责）</w:t>
      </w:r>
      <w:r>
        <w:rPr>
          <w:rFonts w:ascii="楷体_GB2312" w:eastAsia="楷体_GB2312" w:hint="eastAsia"/>
          <w:color w:val="333333"/>
        </w:rPr>
        <w:br/>
      </w:r>
      <w:r>
        <w:rPr>
          <w:rFonts w:hint="eastAsia"/>
          <w:color w:val="333333"/>
        </w:rPr>
        <w:t xml:space="preserve">　　</w:t>
      </w:r>
      <w:r>
        <w:rPr>
          <w:rFonts w:ascii="楷体_GB2312" w:eastAsia="楷体_GB2312" w:hint="eastAsia"/>
          <w:color w:val="333333"/>
        </w:rPr>
        <w:t>（十三）广泛运用科技手段实施监管。</w:t>
      </w:r>
      <w:r>
        <w:rPr>
          <w:rFonts w:hint="eastAsia"/>
          <w:color w:val="333333"/>
        </w:rPr>
        <w:t>充分利用信息网络技术实现在线即时监督监测，加强非现场监管执法。充分运用移动执法、电子案卷等手段，提高执法效能。</w:t>
      </w:r>
      <w:r>
        <w:rPr>
          <w:rFonts w:ascii="楷体_GB2312" w:eastAsia="楷体_GB2312" w:hint="eastAsia"/>
          <w:color w:val="333333"/>
        </w:rPr>
        <w:t>（工商总局、质检总局、安全监管总局、食品药品监管总局、环境保护部、文化部、海关总署等部门按职责分工分别负责）</w:t>
      </w:r>
      <w:r>
        <w:rPr>
          <w:rFonts w:hint="eastAsia"/>
          <w:color w:val="333333"/>
        </w:rPr>
        <w:t>利用物联网建设重要产品等追溯体系，形成“来源可查、去向可追、责任可究”的信息链条。</w:t>
      </w:r>
      <w:r>
        <w:rPr>
          <w:rFonts w:ascii="楷体_GB2312" w:eastAsia="楷体_GB2312" w:hint="eastAsia"/>
          <w:color w:val="333333"/>
        </w:rPr>
        <w:t>（商务部牵头负责）</w:t>
      </w:r>
      <w:r>
        <w:rPr>
          <w:rFonts w:hint="eastAsia"/>
          <w:color w:val="333333"/>
        </w:rPr>
        <w:t>加快完善认定电子签名法律效力的机制。</w:t>
      </w:r>
      <w:r>
        <w:rPr>
          <w:rFonts w:ascii="楷体_GB2312" w:eastAsia="楷体_GB2312" w:hint="eastAsia"/>
          <w:color w:val="333333"/>
        </w:rPr>
        <w:t>（工业和信息化部、法制办牵头负责）</w:t>
      </w:r>
      <w:r>
        <w:rPr>
          <w:rFonts w:ascii="楷体_GB2312" w:eastAsia="楷体_GB2312" w:hint="eastAsia"/>
          <w:color w:val="333333"/>
        </w:rPr>
        <w:br/>
      </w:r>
      <w:r>
        <w:rPr>
          <w:rFonts w:hint="eastAsia"/>
          <w:color w:val="333333"/>
        </w:rPr>
        <w:t xml:space="preserve">　　</w:t>
      </w:r>
      <w:r>
        <w:rPr>
          <w:rStyle w:val="a6"/>
          <w:rFonts w:hint="eastAsia"/>
          <w:color w:val="333333"/>
        </w:rPr>
        <w:t>四、夯实监管信用基础</w:t>
      </w:r>
      <w:r>
        <w:rPr>
          <w:rFonts w:hint="eastAsia"/>
          <w:b/>
          <w:bCs/>
          <w:color w:val="333333"/>
        </w:rPr>
        <w:br/>
      </w:r>
      <w:r>
        <w:rPr>
          <w:rFonts w:hint="eastAsia"/>
          <w:color w:val="333333"/>
        </w:rPr>
        <w:t xml:space="preserve">　　运用信息公示、信息共享和信用约束等手段，营造诚实、自律、守信、互信的社会信用环境，促进各类市场主体守合同、重信用。</w:t>
      </w:r>
      <w:r>
        <w:rPr>
          <w:rFonts w:hint="eastAsia"/>
          <w:color w:val="333333"/>
        </w:rPr>
        <w:br/>
        <w:t xml:space="preserve">　　</w:t>
      </w:r>
      <w:r>
        <w:rPr>
          <w:rFonts w:ascii="楷体_GB2312" w:eastAsia="楷体_GB2312" w:hint="eastAsia"/>
          <w:color w:val="333333"/>
        </w:rPr>
        <w:t>（十四）加快市场主体信用信息平台建设。</w:t>
      </w:r>
      <w:r>
        <w:rPr>
          <w:rFonts w:hint="eastAsia"/>
          <w:color w:val="333333"/>
        </w:rPr>
        <w:t>完善市场主体信用信息记录，建立信用信息档案和交换共享机制。逐步建立包括金融、工商登记、税收缴纳、社保缴费、交通违章、统计等所有信用信息类别、覆盖全部信用主体的全国统一信用信息网络平台。推进信用标准化建设，建立以公民身份号码和组织机构代码为基础的统一社会信用代码制度，完善信用信息征集、存储、共享与应用等环节的</w:t>
      </w:r>
      <w:r>
        <w:rPr>
          <w:rFonts w:hint="eastAsia"/>
          <w:color w:val="333333"/>
        </w:rPr>
        <w:lastRenderedPageBreak/>
        <w:t>制度，推动地方、行业信用信息系统建设及互联互通，构建市场主体信用信息公示系统，强化对市场主体的信用监管。</w:t>
      </w:r>
      <w:r>
        <w:rPr>
          <w:rFonts w:ascii="楷体_GB2312" w:eastAsia="楷体_GB2312" w:hint="eastAsia"/>
          <w:color w:val="333333"/>
        </w:rPr>
        <w:t>（发展改革委、人民银行牵头负责）</w:t>
      </w:r>
      <w:r>
        <w:rPr>
          <w:rFonts w:ascii="楷体_GB2312" w:eastAsia="楷体_GB2312" w:hint="eastAsia"/>
          <w:color w:val="333333"/>
        </w:rPr>
        <w:br/>
      </w:r>
      <w:r>
        <w:rPr>
          <w:rFonts w:hint="eastAsia"/>
          <w:color w:val="333333"/>
        </w:rPr>
        <w:t xml:space="preserve">　　</w:t>
      </w:r>
      <w:r>
        <w:rPr>
          <w:rFonts w:ascii="楷体_GB2312" w:eastAsia="楷体_GB2312" w:hint="eastAsia"/>
          <w:color w:val="333333"/>
        </w:rPr>
        <w:t>（十五）建立健全守信激励和失信惩戒机制。</w:t>
      </w:r>
      <w:r>
        <w:rPr>
          <w:rFonts w:hint="eastAsia"/>
          <w:color w:val="333333"/>
        </w:rPr>
        <w:t>将市场主体的信用信息作为实施行政管理的重要参考。根据市场主体信用状况实行分类分级、动态监管，建立健全经营异常名录制度，对违背市场竞争原则和侵犯消费者、劳动者合法权益的市场主体建立“黑名单”制度。</w:t>
      </w:r>
      <w:r>
        <w:rPr>
          <w:rFonts w:ascii="楷体_GB2312" w:eastAsia="楷体_GB2312" w:hint="eastAsia"/>
          <w:color w:val="333333"/>
        </w:rPr>
        <w:t>（工商总局牵头负责）</w:t>
      </w:r>
      <w:r>
        <w:rPr>
          <w:rFonts w:hint="eastAsia"/>
          <w:color w:val="333333"/>
        </w:rPr>
        <w:t>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r>
        <w:rPr>
          <w:rFonts w:ascii="楷体_GB2312" w:eastAsia="楷体_GB2312" w:hint="eastAsia"/>
          <w:color w:val="333333"/>
        </w:rPr>
        <w:t>（各相关市场监管部门按职责分工分别负责）</w:t>
      </w:r>
      <w:r>
        <w:rPr>
          <w:rFonts w:ascii="楷体_GB2312" w:eastAsia="楷体_GB2312" w:hint="eastAsia"/>
          <w:color w:val="333333"/>
        </w:rPr>
        <w:br/>
      </w:r>
      <w:r>
        <w:rPr>
          <w:rFonts w:hint="eastAsia"/>
          <w:color w:val="333333"/>
        </w:rPr>
        <w:t xml:space="preserve">　　</w:t>
      </w:r>
      <w:r>
        <w:rPr>
          <w:rFonts w:ascii="楷体_GB2312" w:eastAsia="楷体_GB2312" w:hint="eastAsia"/>
          <w:color w:val="333333"/>
        </w:rPr>
        <w:t>（十六）积极促进信用信息的社会运用。</w:t>
      </w:r>
      <w:r>
        <w:rPr>
          <w:rFonts w:hint="eastAsia"/>
          <w:color w:val="333333"/>
        </w:rPr>
        <w:t>在保护涉及公共安全、商业秘密和个人隐私等信息的基础上，依法公开在行政管理中掌握的信用信息。拓宽信用信息查询渠道，为公众查询市场主体基础信用信息和违法违规信息提供便捷高效的服务。依法规范信用服务市场，培育和发展社会信用服务机构，推动建立个人信息和隐私保护的法律制度，加强对信用服务机构和人员的监督管理。</w:t>
      </w:r>
      <w:r>
        <w:rPr>
          <w:rFonts w:ascii="楷体_GB2312" w:eastAsia="楷体_GB2312" w:hint="eastAsia"/>
          <w:color w:val="333333"/>
        </w:rPr>
        <w:t>（发展改革委、人民银行牵头负责）</w:t>
      </w:r>
      <w:r>
        <w:rPr>
          <w:rFonts w:ascii="楷体_GB2312" w:eastAsia="楷体_GB2312" w:hint="eastAsia"/>
          <w:color w:val="333333"/>
        </w:rPr>
        <w:br/>
      </w:r>
      <w:r>
        <w:rPr>
          <w:rFonts w:hint="eastAsia"/>
          <w:color w:val="333333"/>
        </w:rPr>
        <w:t xml:space="preserve">　　</w:t>
      </w:r>
      <w:r>
        <w:rPr>
          <w:rStyle w:val="a6"/>
          <w:rFonts w:hint="eastAsia"/>
          <w:color w:val="333333"/>
        </w:rPr>
        <w:t>五、改进市场监管执法</w:t>
      </w:r>
      <w:r>
        <w:rPr>
          <w:rFonts w:hint="eastAsia"/>
          <w:b/>
          <w:bCs/>
          <w:color w:val="333333"/>
        </w:rPr>
        <w:br/>
      </w:r>
      <w:r>
        <w:rPr>
          <w:rFonts w:hint="eastAsia"/>
          <w:color w:val="333333"/>
        </w:rPr>
        <w:t xml:space="preserve">　　创新执法方式，强化执法监督和行政问责，确保依法执法、公正执法、文明执法。</w:t>
      </w:r>
      <w:r>
        <w:rPr>
          <w:rFonts w:hint="eastAsia"/>
          <w:color w:val="333333"/>
        </w:rPr>
        <w:br/>
        <w:t xml:space="preserve">　　</w:t>
      </w:r>
      <w:r>
        <w:rPr>
          <w:rFonts w:ascii="楷体_GB2312" w:eastAsia="楷体_GB2312" w:hint="eastAsia"/>
          <w:color w:val="333333"/>
        </w:rPr>
        <w:t>（十七）严格依法履行职责。</w:t>
      </w:r>
      <w:r>
        <w:rPr>
          <w:rFonts w:hint="eastAsia"/>
          <w:color w:val="333333"/>
        </w:rPr>
        <w:t>行政机关均须在宪法和法律范围内活动，依照法定权限和程序行使权力、履行职责。没有法律、法规、规章依据，市场监管部门不得</w:t>
      </w:r>
      <w:proofErr w:type="gramStart"/>
      <w:r>
        <w:rPr>
          <w:rFonts w:hint="eastAsia"/>
          <w:color w:val="333333"/>
        </w:rPr>
        <w:t>作出</w:t>
      </w:r>
      <w:proofErr w:type="gramEnd"/>
      <w:r>
        <w:rPr>
          <w:rFonts w:hint="eastAsia"/>
          <w:color w:val="333333"/>
        </w:rPr>
        <w:t>影响市场主体权益或增加其义务的决定；市场监管部门参与民事活动，要依法行使权利、履行义务、承担责任。</w:t>
      </w:r>
      <w:r>
        <w:rPr>
          <w:rFonts w:ascii="楷体_GB2312" w:eastAsia="楷体_GB2312" w:hint="eastAsia"/>
          <w:color w:val="333333"/>
        </w:rPr>
        <w:t>（各相关市场监管部门按职责分工分别负责）</w:t>
      </w:r>
      <w:r>
        <w:rPr>
          <w:rFonts w:ascii="楷体_GB2312" w:eastAsia="楷体_GB2312" w:hint="eastAsia"/>
          <w:color w:val="333333"/>
        </w:rPr>
        <w:br/>
      </w:r>
      <w:r>
        <w:rPr>
          <w:rFonts w:hint="eastAsia"/>
          <w:color w:val="333333"/>
        </w:rPr>
        <w:t xml:space="preserve">　　</w:t>
      </w:r>
      <w:r>
        <w:rPr>
          <w:rFonts w:ascii="楷体_GB2312" w:eastAsia="楷体_GB2312" w:hint="eastAsia"/>
          <w:color w:val="333333"/>
        </w:rPr>
        <w:t>（十八）规范市场执法行为。</w:t>
      </w:r>
      <w:r>
        <w:rPr>
          <w:rFonts w:hint="eastAsia"/>
          <w:color w:val="333333"/>
        </w:rPr>
        <w:t>建立科学监管的规则和方法，完善以随机抽查为重点的日常监督检查制度，优化细化执法工作流程，确保程序正义，切实解决不执法、乱执法、执法扰民等问题。</w:t>
      </w:r>
      <w:r>
        <w:rPr>
          <w:rFonts w:ascii="楷体_GB2312" w:eastAsia="楷体_GB2312" w:hint="eastAsia"/>
          <w:color w:val="333333"/>
        </w:rPr>
        <w:t>（工商总局、质检总局、安全监管总局、食品药品监管总局、环境保护部等部门按职责分工分别负责）</w:t>
      </w:r>
      <w:r>
        <w:rPr>
          <w:rFonts w:hint="eastAsia"/>
          <w:color w:val="333333"/>
        </w:rPr>
        <w:t>完善行政执法程序和制度建设，健全市场监管部门内部案件调查与行政处罚决定相对分离制度，规范执法行为，落实行政执法责任制。建立行政执法自由裁量基准制度，细化、量化行政裁量权，公开裁量范围、种类和幅度，严格限定和合理规范裁量权的行使。行政执法过程中，要尊重公民合法权益，不得粗暴对待当事人，不得侵害其人格尊严，积极推行行政指导、行政合同、行政奖励及行政和解等非强制手段，维护当事人的合法权益。</w:t>
      </w:r>
      <w:r>
        <w:rPr>
          <w:rFonts w:ascii="楷体_GB2312" w:eastAsia="楷体_GB2312" w:hint="eastAsia"/>
          <w:color w:val="333333"/>
        </w:rPr>
        <w:t>（各相关市场监管部门按职责分工分别负责）</w:t>
      </w:r>
      <w:r>
        <w:rPr>
          <w:rFonts w:hint="eastAsia"/>
          <w:color w:val="333333"/>
        </w:rPr>
        <w:t>推进监管执法职能与技术检验检测职能相对分离，技术检验检测机构不再承担执法职能。</w:t>
      </w:r>
      <w:r>
        <w:rPr>
          <w:rFonts w:ascii="楷体_GB2312" w:eastAsia="楷体_GB2312" w:hint="eastAsia"/>
          <w:color w:val="333333"/>
        </w:rPr>
        <w:t>（中央编办、质检总局牵头负责）</w:t>
      </w:r>
      <w:r>
        <w:rPr>
          <w:rFonts w:ascii="楷体_GB2312" w:eastAsia="楷体_GB2312" w:hint="eastAsia"/>
          <w:color w:val="333333"/>
        </w:rPr>
        <w:br/>
      </w:r>
      <w:r>
        <w:rPr>
          <w:rFonts w:hint="eastAsia"/>
          <w:color w:val="333333"/>
        </w:rPr>
        <w:t xml:space="preserve">　　</w:t>
      </w:r>
      <w:r>
        <w:rPr>
          <w:rFonts w:ascii="楷体_GB2312" w:eastAsia="楷体_GB2312" w:hint="eastAsia"/>
          <w:color w:val="333333"/>
        </w:rPr>
        <w:t>（十九）公开市场监管执法信息。</w:t>
      </w:r>
      <w:r>
        <w:rPr>
          <w:rFonts w:hint="eastAsia"/>
          <w:color w:val="333333"/>
        </w:rPr>
        <w:t>推行地方各级政府及其市场监管部门权力清单制度，依法公开权力运行流程。公示行政审批事项目录，公开审批依据、程序、申报条件等。</w:t>
      </w:r>
      <w:r>
        <w:rPr>
          <w:rFonts w:ascii="楷体_GB2312" w:eastAsia="楷体_GB2312" w:hint="eastAsia"/>
          <w:color w:val="333333"/>
        </w:rPr>
        <w:t>（中央编办牵头负责）</w:t>
      </w:r>
      <w:r>
        <w:rPr>
          <w:rFonts w:hint="eastAsia"/>
          <w:color w:val="333333"/>
        </w:rPr>
        <w:t>依法公开监测、抽检和监管执法的依据、内容、标准、程序和结果。除法律法规另有规定外，市场监管部门适用一般程序</w:t>
      </w:r>
      <w:proofErr w:type="gramStart"/>
      <w:r>
        <w:rPr>
          <w:rFonts w:hint="eastAsia"/>
          <w:color w:val="333333"/>
        </w:rPr>
        <w:t>作出</w:t>
      </w:r>
      <w:proofErr w:type="gramEnd"/>
      <w:r>
        <w:rPr>
          <w:rFonts w:hint="eastAsia"/>
          <w:color w:val="333333"/>
        </w:rPr>
        <w:t>行政处罚决定或者处罚决定变更之日起20个工作日内，公开执法案件主体信息、案由、处罚依据及处罚结果，提高执法透明度和公信力。建立健全信息公开内部审核机制、档案管理等制度。</w:t>
      </w:r>
      <w:r>
        <w:rPr>
          <w:rFonts w:ascii="楷体_GB2312" w:eastAsia="楷体_GB2312" w:hint="eastAsia"/>
          <w:color w:val="333333"/>
        </w:rPr>
        <w:t>（各相关市场监管部门按职责分工分别负责）</w:t>
      </w:r>
      <w:r>
        <w:rPr>
          <w:rFonts w:hint="eastAsia"/>
          <w:color w:val="333333"/>
        </w:rPr>
        <w:br/>
        <w:t xml:space="preserve">　　</w:t>
      </w:r>
      <w:r>
        <w:rPr>
          <w:rFonts w:ascii="楷体_GB2312" w:eastAsia="楷体_GB2312" w:hint="eastAsia"/>
          <w:color w:val="333333"/>
        </w:rPr>
        <w:t>（二十）强化执法考核和行政问责。</w:t>
      </w:r>
      <w:r>
        <w:rPr>
          <w:rFonts w:hint="eastAsia"/>
          <w:color w:val="333333"/>
        </w:rPr>
        <w:t>加强执法评议考核，督促和约束各级政</w:t>
      </w:r>
      <w:r>
        <w:rPr>
          <w:rFonts w:hint="eastAsia"/>
          <w:color w:val="333333"/>
        </w:rPr>
        <w:lastRenderedPageBreak/>
        <w:t>府及其市场监管部门切实履行职责。</w:t>
      </w:r>
      <w:r>
        <w:rPr>
          <w:rFonts w:ascii="楷体_GB2312" w:eastAsia="楷体_GB2312" w:hint="eastAsia"/>
          <w:color w:val="333333"/>
        </w:rPr>
        <w:t>（县级以上地方各级人民政府负责）</w:t>
      </w:r>
      <w:r>
        <w:rPr>
          <w:rFonts w:hint="eastAsia"/>
          <w:color w:val="333333"/>
        </w:rPr>
        <w:t>综合运用监察、审计、行政复议等方式，加强对行政机关不作为、乱作为、以罚代管等违法违规行为的监督。对市场监管部门及其工作人员未按强制性标准严格监管执法造成损失的，要依法追究责任；对市场监管部门没有及时发现、制止而引发系统性风险的，对地方政府长期不能制止而引发区域性风险的，要依法追究有关行政监管部门直至政府行政首长的责任。因过错导致监管不到位造成食品药品安全、生态环境安全、生产安全等领域事故的，要倒查追责，做到有案必查，有错必究，有责必追。不顾生态环境盲目决策，造成严重后果的领导干部，要终身追究责任。</w:t>
      </w:r>
      <w:r>
        <w:rPr>
          <w:rFonts w:ascii="楷体_GB2312" w:eastAsia="楷体_GB2312" w:hint="eastAsia"/>
          <w:color w:val="333333"/>
        </w:rPr>
        <w:t>（监察部、审计署、法制办按职责分工分别负责）</w:t>
      </w:r>
      <w:r>
        <w:rPr>
          <w:rFonts w:hint="eastAsia"/>
          <w:color w:val="333333"/>
        </w:rPr>
        <w:br/>
        <w:t xml:space="preserve">　　</w:t>
      </w:r>
      <w:r>
        <w:rPr>
          <w:rStyle w:val="a6"/>
          <w:rFonts w:hint="eastAsia"/>
          <w:color w:val="333333"/>
        </w:rPr>
        <w:t>六、改革监管执法体制</w:t>
      </w:r>
      <w:r>
        <w:rPr>
          <w:rFonts w:hint="eastAsia"/>
          <w:b/>
          <w:bCs/>
          <w:color w:val="333333"/>
        </w:rPr>
        <w:br/>
      </w:r>
      <w:r>
        <w:rPr>
          <w:rFonts w:hint="eastAsia"/>
          <w:color w:val="333333"/>
        </w:rPr>
        <w:t xml:space="preserve">　　整合优化执法资源，减少执法层级，健全协作机制，提高监管效能。</w:t>
      </w:r>
      <w:r>
        <w:rPr>
          <w:rFonts w:hint="eastAsia"/>
          <w:color w:val="333333"/>
        </w:rPr>
        <w:br/>
        <w:t xml:space="preserve">　　</w:t>
      </w:r>
      <w:r>
        <w:rPr>
          <w:rFonts w:ascii="楷体_GB2312" w:eastAsia="楷体_GB2312" w:hint="eastAsia"/>
          <w:color w:val="333333"/>
        </w:rPr>
        <w:t>（二十一）解决多头执法。</w:t>
      </w:r>
      <w:r>
        <w:rPr>
          <w:rFonts w:hint="eastAsia"/>
          <w:color w:val="333333"/>
        </w:rPr>
        <w:t>整合规范市场监管执法主体，推进城市管理、文化等领域跨部门、跨行业综合执法，相对集中执法权。市场监管部门直接承担执法职责，原则上不另设具有独立法人资格的执法队伍。一个部门设有多支执法队伍的，业务相近的应当整合为一支队伍；不同部门下设的职责任务相近或相似的执法队伍，逐步整合为一支队伍。清理取消没有法律法规依据、违反机构编制管理规定的执法队伍。</w:t>
      </w:r>
      <w:r>
        <w:rPr>
          <w:rFonts w:ascii="楷体_GB2312" w:eastAsia="楷体_GB2312" w:hint="eastAsia"/>
          <w:color w:val="333333"/>
        </w:rPr>
        <w:t>（中央编办牵头负责）</w:t>
      </w:r>
      <w:r>
        <w:rPr>
          <w:rFonts w:ascii="楷体_GB2312" w:eastAsia="楷体_GB2312" w:hint="eastAsia"/>
          <w:color w:val="333333"/>
        </w:rPr>
        <w:br/>
      </w:r>
      <w:r>
        <w:rPr>
          <w:rFonts w:hint="eastAsia"/>
          <w:color w:val="333333"/>
        </w:rPr>
        <w:t xml:space="preserve">　　</w:t>
      </w:r>
      <w:r>
        <w:rPr>
          <w:rFonts w:ascii="楷体_GB2312" w:eastAsia="楷体_GB2312" w:hint="eastAsia"/>
          <w:color w:val="333333"/>
        </w:rPr>
        <w:t>（二十二）消除多层重复执法。</w:t>
      </w:r>
      <w:r>
        <w:rPr>
          <w:rFonts w:hint="eastAsia"/>
          <w:color w:val="333333"/>
        </w:rPr>
        <w:t>对反垄断、商品进出口、外资国家安全审查等关系全国统一市场规则和管理的事项，实行中央政府统一监管。对食品安全、商贸服务等实行分级管理的事项，要厘清不同层级政府及其部门的监管职责，原则上实行属地管理，由市县政府负责监管。要加强食品药品、安全生产、环境保护、劳动保障、海域海岛等重点领域基层执法力量。由基层监管的事项，中央政府和省、自治区政府市场监管部门，主要行使市场执法监督指导、协调跨区域执法和重大案件查处职责，原则上不设具有独立法人资格的执法队伍。设区的市，市级部门承担执法职责并设立执法队伍的，区本级不设执法队伍；区级部门承担执法职责并设立执法队伍的，市本级不设执法队伍。加快县级政府市场监管体制改革，探索综合设置市场监管机构，原则上不另设执法队伍。乡镇政府（街道）在没有市场执法权的领域，发现市场违法违规行为应及时向上级报告。经济发达、城镇化水平较高的乡镇，根据需要和条件可通过法定程序行使部分市场执法权。</w:t>
      </w:r>
      <w:r>
        <w:rPr>
          <w:rFonts w:ascii="楷体_GB2312" w:eastAsia="楷体_GB2312" w:hint="eastAsia"/>
          <w:color w:val="333333"/>
        </w:rPr>
        <w:t>（中央编办牵头负责）</w:t>
      </w:r>
      <w:r>
        <w:rPr>
          <w:rFonts w:hint="eastAsia"/>
          <w:color w:val="333333"/>
        </w:rPr>
        <w:br/>
        <w:t xml:space="preserve">　　</w:t>
      </w:r>
      <w:r>
        <w:rPr>
          <w:rFonts w:ascii="楷体_GB2312" w:eastAsia="楷体_GB2312" w:hint="eastAsia"/>
          <w:color w:val="333333"/>
        </w:rPr>
        <w:t>（二十三）规范和完善监管执法协作配合机制。</w:t>
      </w:r>
      <w:r>
        <w:rPr>
          <w:rFonts w:hint="eastAsia"/>
          <w:color w:val="333333"/>
        </w:rPr>
        <w:t>完善市场监管部门间各司其职、各负其责、相互配合、齐抓共管的工作机制。制定部门间监管执法信息共享标准，打破“信息孤岛”，实现信息资源开放共享、互联互通。</w:t>
      </w:r>
      <w:r>
        <w:rPr>
          <w:rFonts w:ascii="楷体_GB2312" w:eastAsia="楷体_GB2312" w:hint="eastAsia"/>
          <w:color w:val="333333"/>
        </w:rPr>
        <w:t>（商务部牵头负责）</w:t>
      </w:r>
      <w:r>
        <w:rPr>
          <w:rFonts w:hint="eastAsia"/>
          <w:color w:val="333333"/>
        </w:rPr>
        <w:t>建立</w:t>
      </w:r>
      <w:proofErr w:type="gramStart"/>
      <w:r>
        <w:rPr>
          <w:rFonts w:hint="eastAsia"/>
          <w:color w:val="333333"/>
        </w:rPr>
        <w:t>健全跨</w:t>
      </w:r>
      <w:proofErr w:type="gramEnd"/>
      <w:r>
        <w:rPr>
          <w:rFonts w:hint="eastAsia"/>
          <w:color w:val="333333"/>
        </w:rPr>
        <w:t>部门、跨区域执法协作联动机制。</w:t>
      </w:r>
      <w:r>
        <w:rPr>
          <w:rFonts w:ascii="楷体_GB2312" w:eastAsia="楷体_GB2312" w:hint="eastAsia"/>
          <w:color w:val="333333"/>
        </w:rPr>
        <w:t>（各相关市场监管部门按职责分工分别负责）</w:t>
      </w:r>
      <w:r>
        <w:rPr>
          <w:rFonts w:hint="eastAsia"/>
          <w:color w:val="333333"/>
        </w:rPr>
        <w:t>对未经依法许可的生产经营行为，工商行政管理部门和负责市场准入许可的部门要及时依法查处，直至吊销营业执照。</w:t>
      </w:r>
      <w:r>
        <w:rPr>
          <w:rFonts w:ascii="楷体_GB2312" w:eastAsia="楷体_GB2312" w:hint="eastAsia"/>
          <w:color w:val="333333"/>
        </w:rPr>
        <w:t>（工商总局、负责市场准入许可的部门按职责分工分别负责）</w:t>
      </w:r>
      <w:r>
        <w:rPr>
          <w:rFonts w:hint="eastAsia"/>
          <w:color w:val="333333"/>
        </w:rPr>
        <w:br/>
        <w:t xml:space="preserve">　　</w:t>
      </w:r>
      <w:r>
        <w:rPr>
          <w:rFonts w:ascii="楷体_GB2312" w:eastAsia="楷体_GB2312" w:hint="eastAsia"/>
          <w:color w:val="333333"/>
        </w:rPr>
        <w:t>（二十四）做好市场监管执法与司法的衔接。</w:t>
      </w:r>
      <w:r>
        <w:rPr>
          <w:rFonts w:hint="eastAsia"/>
          <w:color w:val="333333"/>
        </w:rPr>
        <w:t>完善案件移送标准和程序，细化并严格执行执法协作相关规定。</w:t>
      </w:r>
      <w:r>
        <w:rPr>
          <w:rFonts w:ascii="楷体_GB2312" w:eastAsia="楷体_GB2312" w:hint="eastAsia"/>
          <w:color w:val="333333"/>
        </w:rPr>
        <w:t>（各相关市场监管部门按职责分工分别负责）</w:t>
      </w:r>
      <w:r>
        <w:rPr>
          <w:rFonts w:hint="eastAsia"/>
          <w:color w:val="333333"/>
        </w:rPr>
        <w:t>建立市场监管部门、公安机关、检察机关间案情通报机制。市场监管部门发现违法行为涉嫌犯罪的，应当依法移送公安机关并抄送同级检察机关，不得以罚代刑。公安机关</w:t>
      </w:r>
      <w:proofErr w:type="gramStart"/>
      <w:r>
        <w:rPr>
          <w:rFonts w:hint="eastAsia"/>
          <w:color w:val="333333"/>
        </w:rPr>
        <w:t>作出</w:t>
      </w:r>
      <w:proofErr w:type="gramEnd"/>
      <w:r>
        <w:rPr>
          <w:rFonts w:hint="eastAsia"/>
          <w:color w:val="333333"/>
        </w:rPr>
        <w:t>立案决定的，应当书面通知移送案件的市场监管部门，不立案或者撤销案件决定的，应当书面说明理由，同时通报同级检察机关。公安机关发现违法行为，认为不需要追究刑事责任但依法应当</w:t>
      </w:r>
      <w:proofErr w:type="gramStart"/>
      <w:r>
        <w:rPr>
          <w:rFonts w:hint="eastAsia"/>
          <w:color w:val="333333"/>
        </w:rPr>
        <w:t>作出</w:t>
      </w:r>
      <w:proofErr w:type="gramEnd"/>
      <w:r>
        <w:rPr>
          <w:rFonts w:hint="eastAsia"/>
          <w:color w:val="333333"/>
        </w:rPr>
        <w:t>行政处理的，要及时将案件移</w:t>
      </w:r>
      <w:r>
        <w:rPr>
          <w:rFonts w:hint="eastAsia"/>
          <w:color w:val="333333"/>
        </w:rPr>
        <w:lastRenderedPageBreak/>
        <w:t>送市场监管部门</w:t>
      </w:r>
      <w:r>
        <w:rPr>
          <w:rFonts w:ascii="楷体_GB2312" w:eastAsia="楷体_GB2312" w:hint="eastAsia"/>
          <w:color w:val="333333"/>
        </w:rPr>
        <w:t>。（公安部牵头负责）</w:t>
      </w:r>
      <w:r>
        <w:rPr>
          <w:rFonts w:hint="eastAsia"/>
          <w:color w:val="333333"/>
        </w:rPr>
        <w:t>市场监管部门须履行人民法院的生效裁定和判决。对当事人不履行行政决定的，市场监管部门依法强制执行或者向人民法院申请强制执行。</w:t>
      </w:r>
      <w:r>
        <w:rPr>
          <w:rFonts w:ascii="楷体_GB2312" w:eastAsia="楷体_GB2312" w:hint="eastAsia"/>
          <w:color w:val="333333"/>
        </w:rPr>
        <w:t>（各相关市场监管部门按职责分工分别负责）</w:t>
      </w:r>
      <w:r>
        <w:rPr>
          <w:rFonts w:hint="eastAsia"/>
          <w:color w:val="333333"/>
        </w:rPr>
        <w:br/>
        <w:t xml:space="preserve">　　</w:t>
      </w:r>
      <w:r>
        <w:rPr>
          <w:rStyle w:val="a6"/>
          <w:rFonts w:hint="eastAsia"/>
          <w:color w:val="333333"/>
        </w:rPr>
        <w:t>七、健全社会监督机制</w:t>
      </w:r>
      <w:r>
        <w:rPr>
          <w:rFonts w:hint="eastAsia"/>
          <w:b/>
          <w:bCs/>
          <w:color w:val="333333"/>
        </w:rPr>
        <w:br/>
      </w:r>
      <w:r>
        <w:rPr>
          <w:rFonts w:hint="eastAsia"/>
          <w:color w:val="333333"/>
        </w:rPr>
        <w:t xml:space="preserve">　　充分发挥社会力量在市场监管中的作用，调动一切积极因素，促进市场自我管理、自我规范、自我净化。</w:t>
      </w:r>
      <w:r>
        <w:rPr>
          <w:rFonts w:hint="eastAsia"/>
          <w:color w:val="333333"/>
        </w:rPr>
        <w:br/>
        <w:t xml:space="preserve">　　</w:t>
      </w:r>
      <w:r>
        <w:rPr>
          <w:rFonts w:ascii="楷体_GB2312" w:eastAsia="楷体_GB2312" w:hint="eastAsia"/>
          <w:color w:val="333333"/>
        </w:rPr>
        <w:t>（二十五）发挥行业协会商会的自律作用。</w:t>
      </w:r>
      <w:r>
        <w:rPr>
          <w:rFonts w:hint="eastAsia"/>
          <w:color w:val="333333"/>
        </w:rPr>
        <w:t>推动行业协会商会建立健全行业经营自律规范、自律公约和职业道德准则，规范会员行为。鼓励行业协会商会制定发布产品和服务标准，参与制定国家标准、行业规划和政策法规。支持有关组织依法提起公益诉讼，进行专业调解。加强行业协会商会自身建设，增强参与市场监管的能力。</w:t>
      </w:r>
      <w:r>
        <w:rPr>
          <w:rFonts w:ascii="楷体_GB2312" w:eastAsia="楷体_GB2312" w:hint="eastAsia"/>
          <w:color w:val="333333"/>
        </w:rPr>
        <w:t>（民政部牵头负责）</w:t>
      </w:r>
      <w:r>
        <w:rPr>
          <w:rFonts w:hint="eastAsia"/>
          <w:color w:val="333333"/>
        </w:rPr>
        <w:t>限期实现行政机关与行业协会商会在人员、财务资产、职能、办公场所等方面真正脱钩。探索</w:t>
      </w:r>
      <w:proofErr w:type="gramStart"/>
      <w:r>
        <w:rPr>
          <w:rFonts w:hint="eastAsia"/>
          <w:color w:val="333333"/>
        </w:rPr>
        <w:t>一</w:t>
      </w:r>
      <w:proofErr w:type="gramEnd"/>
      <w:r>
        <w:rPr>
          <w:rFonts w:hint="eastAsia"/>
          <w:color w:val="333333"/>
        </w:rPr>
        <w:t>业多会，引入竞争机制。</w:t>
      </w:r>
      <w:r>
        <w:rPr>
          <w:rFonts w:ascii="楷体_GB2312" w:eastAsia="楷体_GB2312" w:hint="eastAsia"/>
          <w:color w:val="333333"/>
        </w:rPr>
        <w:t>（发展改革委、民政部牵头负责）</w:t>
      </w:r>
      <w:r>
        <w:rPr>
          <w:rFonts w:hint="eastAsia"/>
          <w:color w:val="333333"/>
        </w:rPr>
        <w:t>加快转移适合由行业协会商会承担的职能，同时加强管理，引导其依法开展活动。</w:t>
      </w:r>
      <w:r>
        <w:rPr>
          <w:rFonts w:ascii="楷体_GB2312" w:eastAsia="楷体_GB2312" w:hint="eastAsia"/>
          <w:color w:val="333333"/>
        </w:rPr>
        <w:t>（民政部、中央编办牵头负责）</w:t>
      </w:r>
      <w:r>
        <w:rPr>
          <w:rFonts w:hint="eastAsia"/>
          <w:color w:val="333333"/>
        </w:rPr>
        <w:br/>
        <w:t xml:space="preserve">　　</w:t>
      </w:r>
      <w:r>
        <w:rPr>
          <w:rFonts w:ascii="楷体_GB2312" w:eastAsia="楷体_GB2312" w:hint="eastAsia"/>
          <w:color w:val="333333"/>
        </w:rPr>
        <w:t>（二十六）发挥市场专业化服务组织的监督作用。</w:t>
      </w:r>
      <w:r>
        <w:rPr>
          <w:rFonts w:hint="eastAsia"/>
          <w:color w:val="333333"/>
        </w:rPr>
        <w:t>支持会计师事务所、税务师事务所、律师事务所、资产评估机构等依法对企业财务、纳税情况、资本验资、交易行为等真实性合法性进行</w:t>
      </w:r>
      <w:proofErr w:type="gramStart"/>
      <w:r>
        <w:rPr>
          <w:rFonts w:hint="eastAsia"/>
          <w:color w:val="333333"/>
        </w:rPr>
        <w:t>鉴证</w:t>
      </w:r>
      <w:proofErr w:type="gramEnd"/>
      <w:r>
        <w:rPr>
          <w:rFonts w:hint="eastAsia"/>
          <w:color w:val="333333"/>
        </w:rPr>
        <w:t>，依法对上市公司信息披露进行核查把关。</w:t>
      </w:r>
      <w:r>
        <w:rPr>
          <w:rFonts w:ascii="楷体_GB2312" w:eastAsia="楷体_GB2312" w:hint="eastAsia"/>
          <w:color w:val="333333"/>
        </w:rPr>
        <w:t>（财政部牵头负责）</w:t>
      </w:r>
      <w:r>
        <w:rPr>
          <w:rFonts w:hint="eastAsia"/>
          <w:color w:val="333333"/>
        </w:rPr>
        <w:t>推进检验检测认证机构与政府脱钩、转制为企业或社会组织的改革，推进检验检测认证机构整合，有序放开检验检测认证市场，促进第三方检验检测认证机构发展。</w:t>
      </w:r>
      <w:r>
        <w:rPr>
          <w:rFonts w:ascii="楷体_GB2312" w:eastAsia="楷体_GB2312" w:hint="eastAsia"/>
          <w:color w:val="333333"/>
        </w:rPr>
        <w:t>（中央编办、质检总局牵头负责）</w:t>
      </w:r>
      <w:r>
        <w:rPr>
          <w:rFonts w:hint="eastAsia"/>
          <w:color w:val="333333"/>
        </w:rPr>
        <w:t>推进公证管理体制改革。</w:t>
      </w:r>
      <w:r>
        <w:rPr>
          <w:rFonts w:ascii="楷体_GB2312" w:eastAsia="楷体_GB2312" w:hint="eastAsia"/>
          <w:color w:val="333333"/>
        </w:rPr>
        <w:t>（司法部负责）</w:t>
      </w:r>
      <w:r>
        <w:rPr>
          <w:rFonts w:hint="eastAsia"/>
          <w:color w:val="333333"/>
        </w:rPr>
        <w:t>加快发展市场中介组织，推进从事行政审批前置中介服务的市场中介组织在人、财、物等方面与行政机关或者挂靠事业单位脱钩改制。建立健全市场专业化服务机构监管制度。</w:t>
      </w:r>
      <w:r>
        <w:rPr>
          <w:rFonts w:ascii="楷体_GB2312" w:eastAsia="楷体_GB2312" w:hint="eastAsia"/>
          <w:color w:val="333333"/>
        </w:rPr>
        <w:t>（发展改革委、财政部牵头负责）</w:t>
      </w:r>
      <w:r>
        <w:rPr>
          <w:rFonts w:hint="eastAsia"/>
          <w:color w:val="333333"/>
        </w:rPr>
        <w:br/>
        <w:t xml:space="preserve">　　</w:t>
      </w:r>
      <w:r>
        <w:rPr>
          <w:rFonts w:ascii="楷体_GB2312" w:eastAsia="楷体_GB2312" w:hint="eastAsia"/>
          <w:color w:val="333333"/>
        </w:rPr>
        <w:t>（二十七）发挥公众和舆论的监督作用。</w:t>
      </w:r>
      <w:r>
        <w:rPr>
          <w:rFonts w:hint="eastAsia"/>
          <w:color w:val="333333"/>
        </w:rPr>
        <w:t>健全公众参与监督的激励机制，完善有奖举报制度，依法为举报人保密。</w:t>
      </w:r>
      <w:r>
        <w:rPr>
          <w:rFonts w:ascii="楷体_GB2312" w:eastAsia="楷体_GB2312" w:hint="eastAsia"/>
          <w:color w:val="333333"/>
        </w:rPr>
        <w:t>（各相关市场监管部门按职责分工分别负责）</w:t>
      </w:r>
      <w:r>
        <w:rPr>
          <w:rFonts w:hint="eastAsia"/>
          <w:color w:val="333333"/>
        </w:rPr>
        <w:t>发挥消费者组织调处消费纠纷的作用，提升维权成效。</w:t>
      </w:r>
      <w:r>
        <w:rPr>
          <w:rFonts w:ascii="楷体_GB2312" w:eastAsia="楷体_GB2312" w:hint="eastAsia"/>
          <w:color w:val="333333"/>
        </w:rPr>
        <w:t>（工商总局牵头负责）</w:t>
      </w:r>
      <w:r>
        <w:rPr>
          <w:rFonts w:hint="eastAsia"/>
          <w:color w:val="333333"/>
        </w:rPr>
        <w:t>落实领导干部接待群众来访制度，健全信访举报工作机制，畅通信访渠道。</w:t>
      </w:r>
      <w:r>
        <w:rPr>
          <w:rFonts w:ascii="楷体_GB2312" w:eastAsia="楷体_GB2312" w:hint="eastAsia"/>
          <w:color w:val="333333"/>
        </w:rPr>
        <w:t>（信访局牵头负责）</w:t>
      </w:r>
      <w:r>
        <w:rPr>
          <w:rFonts w:hint="eastAsia"/>
          <w:color w:val="333333"/>
        </w:rPr>
        <w:t>整合优化各职能部门的投诉举报平台功能，逐步建设统一便民高效的消费投诉、经济违法行为举报和行政效能投诉平台，实现统一接听、按责转办、限时办结，统一督办，统一考核。</w:t>
      </w:r>
      <w:r>
        <w:rPr>
          <w:rFonts w:ascii="楷体_GB2312" w:eastAsia="楷体_GB2312" w:hint="eastAsia"/>
          <w:color w:val="333333"/>
        </w:rPr>
        <w:t>（县级以上地方各级人民政府负责）</w:t>
      </w:r>
      <w:r>
        <w:rPr>
          <w:rFonts w:hint="eastAsia"/>
          <w:color w:val="333333"/>
        </w:rPr>
        <w:t>强化舆论监督，曝光典型案件，震慑违法犯罪行为，提高公众认知和防范能力。新闻媒体要严守职业道德，把握正确导向，重视社会效果。严惩以有偿新闻恶意中伤生产经营者、欺骗消费者的行为。</w:t>
      </w:r>
      <w:r>
        <w:rPr>
          <w:rFonts w:ascii="楷体_GB2312" w:eastAsia="楷体_GB2312" w:hint="eastAsia"/>
          <w:color w:val="333333"/>
        </w:rPr>
        <w:t>（新闻出版广电总局牵头负责）</w:t>
      </w:r>
      <w:r>
        <w:rPr>
          <w:rFonts w:hint="eastAsia"/>
          <w:color w:val="333333"/>
        </w:rPr>
        <w:t>对群众举报投诉、新闻媒体反映的问题，市场监管部门要认真调查核实，及时依法</w:t>
      </w:r>
      <w:proofErr w:type="gramStart"/>
      <w:r>
        <w:rPr>
          <w:rFonts w:hint="eastAsia"/>
          <w:color w:val="333333"/>
        </w:rPr>
        <w:t>作出</w:t>
      </w:r>
      <w:proofErr w:type="gramEnd"/>
      <w:r>
        <w:rPr>
          <w:rFonts w:hint="eastAsia"/>
          <w:color w:val="333333"/>
        </w:rPr>
        <w:t>处理，并向社会公布处理结果。</w:t>
      </w:r>
      <w:r>
        <w:rPr>
          <w:rFonts w:ascii="楷体_GB2312" w:eastAsia="楷体_GB2312" w:hint="eastAsia"/>
          <w:color w:val="333333"/>
        </w:rPr>
        <w:t>（各相关市场监管部门按职责分工分别负责）</w:t>
      </w:r>
      <w:r>
        <w:rPr>
          <w:rFonts w:hint="eastAsia"/>
          <w:color w:val="333333"/>
        </w:rPr>
        <w:br/>
        <w:t xml:space="preserve">　　</w:t>
      </w:r>
      <w:r>
        <w:rPr>
          <w:rStyle w:val="a6"/>
          <w:rFonts w:hint="eastAsia"/>
          <w:color w:val="333333"/>
        </w:rPr>
        <w:t>八、完善监管执法保障</w:t>
      </w:r>
      <w:r>
        <w:rPr>
          <w:rFonts w:hint="eastAsia"/>
          <w:b/>
          <w:bCs/>
          <w:color w:val="333333"/>
        </w:rPr>
        <w:br/>
      </w:r>
      <w:r>
        <w:rPr>
          <w:rFonts w:hint="eastAsia"/>
          <w:color w:val="333333"/>
        </w:rPr>
        <w:t xml:space="preserve">　　加强制度建设，强化执法能力保障，确保市场监管有法可依、执法必严、清正廉洁、公正为民。</w:t>
      </w:r>
      <w:r>
        <w:rPr>
          <w:rFonts w:hint="eastAsia"/>
          <w:color w:val="333333"/>
        </w:rPr>
        <w:br/>
        <w:t xml:space="preserve">　　</w:t>
      </w:r>
      <w:r>
        <w:rPr>
          <w:rFonts w:ascii="楷体_GB2312" w:eastAsia="楷体_GB2312" w:hint="eastAsia"/>
          <w:color w:val="333333"/>
        </w:rPr>
        <w:t>（二十八）及时完善相关法律规范。</w:t>
      </w:r>
      <w:r>
        <w:rPr>
          <w:rFonts w:hint="eastAsia"/>
          <w:color w:val="333333"/>
        </w:rPr>
        <w:t>根据市场监管实际需要和市场变化情况，及时修订完善相关法律法规。梳理取消和下放行政审批项目、加强后续监管措施涉及的法律法规、规章和规范性文件，提出法律修改、废止建议，修改或者废止有关法规、规章和规范性文件。研究技术标准、信用信息和信用报告、备案报告等政府管理方式的适用规则。完善市场监管规范性文件合法性审查机制，健全法规、规章和规范性文件备案审查制度。健全行政复议案件审理机制，推动扩大行</w:t>
      </w:r>
      <w:r>
        <w:rPr>
          <w:rFonts w:hint="eastAsia"/>
          <w:color w:val="333333"/>
        </w:rPr>
        <w:lastRenderedPageBreak/>
        <w:t>政诉讼受案范围。</w:t>
      </w:r>
      <w:r>
        <w:rPr>
          <w:rFonts w:ascii="楷体_GB2312" w:eastAsia="楷体_GB2312" w:hint="eastAsia"/>
          <w:color w:val="333333"/>
        </w:rPr>
        <w:t>（法制办、各相关市场监管部门按职责分工分别负责）</w:t>
      </w:r>
      <w:r>
        <w:rPr>
          <w:rFonts w:hint="eastAsia"/>
          <w:color w:val="333333"/>
        </w:rPr>
        <w:br/>
        <w:t xml:space="preserve">　　</w:t>
      </w:r>
      <w:r>
        <w:rPr>
          <w:rFonts w:ascii="楷体_GB2312" w:eastAsia="楷体_GB2312" w:hint="eastAsia"/>
          <w:color w:val="333333"/>
        </w:rPr>
        <w:t>（二十九）健全法律责任制度。</w:t>
      </w:r>
      <w:r>
        <w:rPr>
          <w:rFonts w:hint="eastAsia"/>
          <w:color w:val="333333"/>
        </w:rPr>
        <w:t>调整食品药品、生态环境、安全生产、劳动保障等领域现行法律制度</w:t>
      </w:r>
      <w:proofErr w:type="gramStart"/>
      <w:r>
        <w:rPr>
          <w:rFonts w:hint="eastAsia"/>
          <w:color w:val="333333"/>
        </w:rPr>
        <w:t>中罚款</w:t>
      </w:r>
      <w:proofErr w:type="gramEnd"/>
      <w:r>
        <w:rPr>
          <w:rFonts w:hint="eastAsia"/>
          <w:color w:val="333333"/>
        </w:rPr>
        <w:t>等法律责任的规定，探索</w:t>
      </w:r>
      <w:proofErr w:type="gramStart"/>
      <w:r>
        <w:rPr>
          <w:rFonts w:hint="eastAsia"/>
          <w:color w:val="333333"/>
        </w:rPr>
        <w:t>按日计罚等</w:t>
      </w:r>
      <w:proofErr w:type="gramEnd"/>
      <w:r>
        <w:rPr>
          <w:rFonts w:hint="eastAsia"/>
          <w:color w:val="333333"/>
        </w:rPr>
        <w:t>法律责任形式。扩大市场监管法律制度中惩罚性赔偿的适用范围，依法大幅度提高赔偿倍数。强化专业化服务组织的连带责任。健全行政补偿和赔偿制度，当发生市场监管部门及其工作人员行使职权损害相对人合法权益时，须履行补偿或赔偿责任。</w:t>
      </w:r>
      <w:r>
        <w:rPr>
          <w:rFonts w:ascii="楷体_GB2312" w:eastAsia="楷体_GB2312" w:hint="eastAsia"/>
          <w:color w:val="333333"/>
        </w:rPr>
        <w:t>（各相关市场监管部门、法制办按职责分工分别负责）</w:t>
      </w:r>
      <w:r>
        <w:rPr>
          <w:rFonts w:hint="eastAsia"/>
          <w:color w:val="333333"/>
        </w:rPr>
        <w:br/>
        <w:t xml:space="preserve">　　</w:t>
      </w:r>
      <w:r>
        <w:rPr>
          <w:rFonts w:ascii="楷体_GB2312" w:eastAsia="楷体_GB2312" w:hint="eastAsia"/>
          <w:color w:val="333333"/>
        </w:rPr>
        <w:t>（三十）加强执法队伍建设。</w:t>
      </w:r>
      <w:r>
        <w:rPr>
          <w:rFonts w:hint="eastAsia"/>
          <w:color w:val="333333"/>
        </w:rPr>
        <w:t>在财政供养人员总量不增加的前提下，盘活存量、优化结构，完善待遇、选拔任用等激励保障制度，推动执法力量向基层和一线倾斜。加强执法人员专业培训和业务考核，配备必要的执法装备，提高执法人员综合素质和能力水平。</w:t>
      </w:r>
      <w:r>
        <w:rPr>
          <w:rFonts w:ascii="楷体_GB2312" w:eastAsia="楷体_GB2312" w:hint="eastAsia"/>
          <w:color w:val="333333"/>
        </w:rPr>
        <w:t>（财政部、人力资源社会保障部、中央编办按职责分工分别负责）</w:t>
      </w:r>
      <w:r>
        <w:rPr>
          <w:rFonts w:hint="eastAsia"/>
          <w:color w:val="333333"/>
        </w:rPr>
        <w:t>全面落实财政保障执法经费制度，市场监管工作经费和能力建设经费全部纳入各级财政预算予以保障，确保监管执法人员工资足额发放。严格执行“收支两条线”制度，严禁下达罚款任务，严禁收费罚没收入按比例返还等与部门利益挂钩或者变相挂钩。</w:t>
      </w:r>
      <w:r>
        <w:rPr>
          <w:rFonts w:ascii="楷体_GB2312" w:eastAsia="楷体_GB2312" w:hint="eastAsia"/>
          <w:color w:val="333333"/>
        </w:rPr>
        <w:t>（财政部牵头负责）</w:t>
      </w:r>
      <w:r>
        <w:rPr>
          <w:rFonts w:hint="eastAsia"/>
          <w:color w:val="333333"/>
        </w:rPr>
        <w:br/>
        <w:t xml:space="preserve">　　</w:t>
      </w:r>
      <w:r>
        <w:rPr>
          <w:rStyle w:val="a6"/>
          <w:rFonts w:hint="eastAsia"/>
          <w:color w:val="333333"/>
        </w:rPr>
        <w:t>九、加强组织领导</w:t>
      </w:r>
      <w:r>
        <w:rPr>
          <w:rFonts w:hint="eastAsia"/>
          <w:b/>
          <w:bCs/>
          <w:color w:val="333333"/>
        </w:rPr>
        <w:br/>
      </w:r>
      <w:r>
        <w:rPr>
          <w:rFonts w:hint="eastAsia"/>
          <w:color w:val="333333"/>
        </w:rPr>
        <w:t xml:space="preserve">　　促进市场公平竞争，完善市场监管体系是一项系统工程，各地区各部门要高度重视、统一思想、狠抓落实，力求取得实效。</w:t>
      </w:r>
      <w:r>
        <w:rPr>
          <w:rFonts w:hint="eastAsia"/>
          <w:color w:val="333333"/>
        </w:rPr>
        <w:br/>
        <w:t xml:space="preserve">　　</w:t>
      </w:r>
      <w:r>
        <w:rPr>
          <w:rFonts w:ascii="楷体_GB2312" w:eastAsia="楷体_GB2312" w:hint="eastAsia"/>
          <w:color w:val="333333"/>
        </w:rPr>
        <w:t>（三十一）加强领导，明确分工。</w:t>
      </w:r>
      <w:r>
        <w:rPr>
          <w:rFonts w:hint="eastAsia"/>
          <w:color w:val="333333"/>
        </w:rPr>
        <w:t>各地区各部门要深刻认识完善市场监管体系工作的重大意义，认真落实本意</w:t>
      </w:r>
      <w:proofErr w:type="gramStart"/>
      <w:r>
        <w:rPr>
          <w:rFonts w:hint="eastAsia"/>
          <w:color w:val="333333"/>
        </w:rPr>
        <w:t>见提出</w:t>
      </w:r>
      <w:proofErr w:type="gramEnd"/>
      <w:r>
        <w:rPr>
          <w:rFonts w:hint="eastAsia"/>
          <w:color w:val="333333"/>
        </w:rPr>
        <w:t>的各项措施和要求。各级人民政府要建立健全市场监管体系建设的领导和协调机制，加强统筹协调、督促落实，</w:t>
      </w:r>
      <w:proofErr w:type="gramStart"/>
      <w:r>
        <w:rPr>
          <w:rFonts w:hint="eastAsia"/>
          <w:color w:val="333333"/>
        </w:rPr>
        <w:t>明确部门</w:t>
      </w:r>
      <w:proofErr w:type="gramEnd"/>
      <w:r>
        <w:rPr>
          <w:rFonts w:hint="eastAsia"/>
          <w:color w:val="333333"/>
        </w:rPr>
        <w:t>分工任务。各地区各部门要按照职责分工，结合本地区本部门实际，研究出台具体方案和实施办法，细化实化监管措施，落实和强化监管责任。加强新闻宣传和舆论引导，确保市场运行平稳有序。</w:t>
      </w:r>
      <w:r>
        <w:rPr>
          <w:rFonts w:hint="eastAsia"/>
          <w:color w:val="333333"/>
        </w:rPr>
        <w:br/>
        <w:t xml:space="preserve">　　</w:t>
      </w:r>
      <w:r>
        <w:rPr>
          <w:rFonts w:ascii="楷体_GB2312" w:eastAsia="楷体_GB2312" w:hint="eastAsia"/>
          <w:color w:val="333333"/>
        </w:rPr>
        <w:t>（三十二）联系实际，突出重点。</w:t>
      </w:r>
      <w:r>
        <w:rPr>
          <w:rFonts w:hint="eastAsia"/>
          <w:color w:val="333333"/>
        </w:rPr>
        <w:t>要把人民群众反映强烈、关系人民群众身体健康和生命财产安全、对经济社会发展可能造成大的危害的问题放在突出位置，着力加强对重点区域、重点领域、重点环节和重点产品的监管，切实解决食品药品、生态环境、安全生产、金融服务、网络信息、电子商务、房地产等领域扰乱市场秩序、侵害消费者合法权益的问题。</w:t>
      </w:r>
      <w:r>
        <w:rPr>
          <w:rFonts w:hint="eastAsia"/>
          <w:color w:val="333333"/>
        </w:rPr>
        <w:br/>
        <w:t xml:space="preserve">　　</w:t>
      </w:r>
      <w:r>
        <w:rPr>
          <w:rFonts w:ascii="楷体_GB2312" w:eastAsia="楷体_GB2312" w:hint="eastAsia"/>
          <w:color w:val="333333"/>
        </w:rPr>
        <w:t>（三十三）加强督查，务求实效。</w:t>
      </w:r>
      <w:r>
        <w:rPr>
          <w:rFonts w:hint="eastAsia"/>
          <w:color w:val="333333"/>
        </w:rPr>
        <w:t>各地区各部门要加强对本意见落实工作的监督检查，推动市场监管体系建设，促进市场公平竞争，维护市场正常秩序。国务院办公厅负责对本意见落实工作的统筹协调、跟踪了解、督促检查，确保各项任务和措施落实到位。</w:t>
      </w:r>
    </w:p>
    <w:p w:rsidR="00F50F74" w:rsidRDefault="00F50F74" w:rsidP="00F50F74">
      <w:pPr>
        <w:pStyle w:val="a5"/>
        <w:shd w:val="clear" w:color="auto" w:fill="FFFFFF"/>
        <w:spacing w:before="0" w:beforeAutospacing="0" w:after="0" w:afterAutospacing="0"/>
        <w:rPr>
          <w:rFonts w:hint="eastAsia"/>
          <w:color w:val="333333"/>
        </w:rPr>
      </w:pPr>
      <w:r>
        <w:rPr>
          <w:rFonts w:hint="eastAsia"/>
          <w:color w:val="333333"/>
        </w:rPr>
        <w:t xml:space="preserve">　　　　　　　　　　　　　　　　　　　　　　　　　　　　　　 国务院</w:t>
      </w:r>
      <w:r>
        <w:rPr>
          <w:rFonts w:hint="eastAsia"/>
          <w:color w:val="333333"/>
        </w:rPr>
        <w:br/>
      </w:r>
      <w:proofErr w:type="gramStart"/>
      <w:r>
        <w:rPr>
          <w:rFonts w:hint="eastAsia"/>
          <w:color w:val="333333"/>
        </w:rPr>
        <w:t xml:space="preserve">　　　　　　　　　　　　　　　　　　　　　　　　　　　　　</w:t>
      </w:r>
      <w:proofErr w:type="gramEnd"/>
      <w:r>
        <w:rPr>
          <w:rFonts w:hint="eastAsia"/>
          <w:color w:val="333333"/>
        </w:rPr>
        <w:t>2014年6月4日</w:t>
      </w:r>
      <w:r>
        <w:rPr>
          <w:rFonts w:hint="eastAsia"/>
          <w:color w:val="333333"/>
        </w:rPr>
        <w:br/>
        <w:t xml:space="preserve">　　（此件公开发布）</w:t>
      </w:r>
    </w:p>
    <w:p w:rsidR="002961C7" w:rsidRPr="00F50F74" w:rsidRDefault="002961C7"/>
    <w:sectPr w:rsidR="002961C7" w:rsidRPr="00F50F74" w:rsidSect="002961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69F" w:rsidRDefault="0002069F" w:rsidP="00F50F74">
      <w:r>
        <w:separator/>
      </w:r>
    </w:p>
  </w:endnote>
  <w:endnote w:type="continuationSeparator" w:id="0">
    <w:p w:rsidR="0002069F" w:rsidRDefault="0002069F" w:rsidP="00F50F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69F" w:rsidRDefault="0002069F" w:rsidP="00F50F74">
      <w:r>
        <w:separator/>
      </w:r>
    </w:p>
  </w:footnote>
  <w:footnote w:type="continuationSeparator" w:id="0">
    <w:p w:rsidR="0002069F" w:rsidRDefault="0002069F" w:rsidP="00F50F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0F74"/>
    <w:rsid w:val="0000154D"/>
    <w:rsid w:val="00003FCB"/>
    <w:rsid w:val="00004142"/>
    <w:rsid w:val="0000608D"/>
    <w:rsid w:val="00006CF5"/>
    <w:rsid w:val="00007619"/>
    <w:rsid w:val="000077A1"/>
    <w:rsid w:val="00007EBD"/>
    <w:rsid w:val="00007FAE"/>
    <w:rsid w:val="0001166E"/>
    <w:rsid w:val="00012379"/>
    <w:rsid w:val="00012425"/>
    <w:rsid w:val="00012F67"/>
    <w:rsid w:val="00014CC8"/>
    <w:rsid w:val="00015B41"/>
    <w:rsid w:val="00015B67"/>
    <w:rsid w:val="0001629F"/>
    <w:rsid w:val="00016331"/>
    <w:rsid w:val="00016768"/>
    <w:rsid w:val="00017AC9"/>
    <w:rsid w:val="00020402"/>
    <w:rsid w:val="0002069F"/>
    <w:rsid w:val="000229BC"/>
    <w:rsid w:val="00023CAB"/>
    <w:rsid w:val="00023F30"/>
    <w:rsid w:val="000242C1"/>
    <w:rsid w:val="000244C1"/>
    <w:rsid w:val="000245AD"/>
    <w:rsid w:val="0002536F"/>
    <w:rsid w:val="00025B16"/>
    <w:rsid w:val="00026235"/>
    <w:rsid w:val="00026A0D"/>
    <w:rsid w:val="00030516"/>
    <w:rsid w:val="00030EF0"/>
    <w:rsid w:val="00031529"/>
    <w:rsid w:val="00031568"/>
    <w:rsid w:val="000318F7"/>
    <w:rsid w:val="00033B54"/>
    <w:rsid w:val="000340D7"/>
    <w:rsid w:val="0003446B"/>
    <w:rsid w:val="00035648"/>
    <w:rsid w:val="000368FC"/>
    <w:rsid w:val="000374AC"/>
    <w:rsid w:val="00040BC5"/>
    <w:rsid w:val="00041EBD"/>
    <w:rsid w:val="00042914"/>
    <w:rsid w:val="00042B00"/>
    <w:rsid w:val="000432E3"/>
    <w:rsid w:val="000500B9"/>
    <w:rsid w:val="000511E6"/>
    <w:rsid w:val="00052237"/>
    <w:rsid w:val="00053C53"/>
    <w:rsid w:val="000549D5"/>
    <w:rsid w:val="0005788B"/>
    <w:rsid w:val="00057EE6"/>
    <w:rsid w:val="00060DFB"/>
    <w:rsid w:val="00061F03"/>
    <w:rsid w:val="00065D6D"/>
    <w:rsid w:val="0006718C"/>
    <w:rsid w:val="0006772D"/>
    <w:rsid w:val="00070A29"/>
    <w:rsid w:val="00073217"/>
    <w:rsid w:val="00073290"/>
    <w:rsid w:val="000744CF"/>
    <w:rsid w:val="00081A53"/>
    <w:rsid w:val="000820A2"/>
    <w:rsid w:val="00082884"/>
    <w:rsid w:val="00082E7A"/>
    <w:rsid w:val="000834A1"/>
    <w:rsid w:val="0008610D"/>
    <w:rsid w:val="00087976"/>
    <w:rsid w:val="000929BB"/>
    <w:rsid w:val="00092B2C"/>
    <w:rsid w:val="00093010"/>
    <w:rsid w:val="000935C6"/>
    <w:rsid w:val="00093B93"/>
    <w:rsid w:val="000945F0"/>
    <w:rsid w:val="000947FD"/>
    <w:rsid w:val="00095DC6"/>
    <w:rsid w:val="000A2451"/>
    <w:rsid w:val="000A27D1"/>
    <w:rsid w:val="000A283B"/>
    <w:rsid w:val="000A2DA6"/>
    <w:rsid w:val="000A4BF1"/>
    <w:rsid w:val="000A53E2"/>
    <w:rsid w:val="000A57D8"/>
    <w:rsid w:val="000B2F52"/>
    <w:rsid w:val="000B4A99"/>
    <w:rsid w:val="000B4CE8"/>
    <w:rsid w:val="000B6BA4"/>
    <w:rsid w:val="000B7E6E"/>
    <w:rsid w:val="000C003E"/>
    <w:rsid w:val="000C0C27"/>
    <w:rsid w:val="000C0E7F"/>
    <w:rsid w:val="000C0F4A"/>
    <w:rsid w:val="000C1415"/>
    <w:rsid w:val="000C2C31"/>
    <w:rsid w:val="000C3921"/>
    <w:rsid w:val="000C7CEA"/>
    <w:rsid w:val="000D0BB6"/>
    <w:rsid w:val="000D292E"/>
    <w:rsid w:val="000D3E54"/>
    <w:rsid w:val="000D4484"/>
    <w:rsid w:val="000D4E89"/>
    <w:rsid w:val="000D6A47"/>
    <w:rsid w:val="000D6BB2"/>
    <w:rsid w:val="000E0E77"/>
    <w:rsid w:val="000E1999"/>
    <w:rsid w:val="000E1AEE"/>
    <w:rsid w:val="000E2058"/>
    <w:rsid w:val="000E45EC"/>
    <w:rsid w:val="000E67D2"/>
    <w:rsid w:val="000E695F"/>
    <w:rsid w:val="000E69CB"/>
    <w:rsid w:val="000F06DB"/>
    <w:rsid w:val="000F54D9"/>
    <w:rsid w:val="000F582C"/>
    <w:rsid w:val="00100B5D"/>
    <w:rsid w:val="00100E65"/>
    <w:rsid w:val="001013ED"/>
    <w:rsid w:val="00102292"/>
    <w:rsid w:val="00102734"/>
    <w:rsid w:val="0010366A"/>
    <w:rsid w:val="00103B81"/>
    <w:rsid w:val="00105D2A"/>
    <w:rsid w:val="00107409"/>
    <w:rsid w:val="0010796E"/>
    <w:rsid w:val="00107A2A"/>
    <w:rsid w:val="00107DB0"/>
    <w:rsid w:val="00107FAA"/>
    <w:rsid w:val="00110A4D"/>
    <w:rsid w:val="00111DEA"/>
    <w:rsid w:val="001147F1"/>
    <w:rsid w:val="00114951"/>
    <w:rsid w:val="00117537"/>
    <w:rsid w:val="00120355"/>
    <w:rsid w:val="00120D8F"/>
    <w:rsid w:val="0012181B"/>
    <w:rsid w:val="00121B93"/>
    <w:rsid w:val="00122423"/>
    <w:rsid w:val="00123004"/>
    <w:rsid w:val="0012313E"/>
    <w:rsid w:val="001236B7"/>
    <w:rsid w:val="001255DF"/>
    <w:rsid w:val="001274F6"/>
    <w:rsid w:val="00127593"/>
    <w:rsid w:val="00130525"/>
    <w:rsid w:val="00130AA4"/>
    <w:rsid w:val="001317C2"/>
    <w:rsid w:val="00131EAF"/>
    <w:rsid w:val="001324B0"/>
    <w:rsid w:val="00132991"/>
    <w:rsid w:val="001356D3"/>
    <w:rsid w:val="0014048C"/>
    <w:rsid w:val="0014120D"/>
    <w:rsid w:val="00141E03"/>
    <w:rsid w:val="00144824"/>
    <w:rsid w:val="0014761D"/>
    <w:rsid w:val="00150DD5"/>
    <w:rsid w:val="001511EF"/>
    <w:rsid w:val="00151FFB"/>
    <w:rsid w:val="0015579D"/>
    <w:rsid w:val="00156D30"/>
    <w:rsid w:val="00156E79"/>
    <w:rsid w:val="001576B7"/>
    <w:rsid w:val="00157911"/>
    <w:rsid w:val="0016047B"/>
    <w:rsid w:val="0016101C"/>
    <w:rsid w:val="001617B0"/>
    <w:rsid w:val="001625B5"/>
    <w:rsid w:val="001654CF"/>
    <w:rsid w:val="00167218"/>
    <w:rsid w:val="00167E9A"/>
    <w:rsid w:val="00170942"/>
    <w:rsid w:val="0017103E"/>
    <w:rsid w:val="0017112C"/>
    <w:rsid w:val="0017177C"/>
    <w:rsid w:val="001719FE"/>
    <w:rsid w:val="00171AD9"/>
    <w:rsid w:val="00171E5A"/>
    <w:rsid w:val="00172453"/>
    <w:rsid w:val="00172CD5"/>
    <w:rsid w:val="00174994"/>
    <w:rsid w:val="001749B1"/>
    <w:rsid w:val="00174D3C"/>
    <w:rsid w:val="00175FBD"/>
    <w:rsid w:val="00181CDB"/>
    <w:rsid w:val="00182252"/>
    <w:rsid w:val="00183C40"/>
    <w:rsid w:val="00183EFA"/>
    <w:rsid w:val="00185C5C"/>
    <w:rsid w:val="00185D27"/>
    <w:rsid w:val="0019105B"/>
    <w:rsid w:val="001926D7"/>
    <w:rsid w:val="00193A79"/>
    <w:rsid w:val="00195A5E"/>
    <w:rsid w:val="001967EF"/>
    <w:rsid w:val="00196CBD"/>
    <w:rsid w:val="00196CC4"/>
    <w:rsid w:val="00197BD9"/>
    <w:rsid w:val="001A107B"/>
    <w:rsid w:val="001A1174"/>
    <w:rsid w:val="001A24D0"/>
    <w:rsid w:val="001A2A3F"/>
    <w:rsid w:val="001A3530"/>
    <w:rsid w:val="001A38F8"/>
    <w:rsid w:val="001A77DB"/>
    <w:rsid w:val="001B234D"/>
    <w:rsid w:val="001B2B48"/>
    <w:rsid w:val="001B300F"/>
    <w:rsid w:val="001B3BE0"/>
    <w:rsid w:val="001B3CD4"/>
    <w:rsid w:val="001B7D08"/>
    <w:rsid w:val="001C29D2"/>
    <w:rsid w:val="001C4490"/>
    <w:rsid w:val="001C4555"/>
    <w:rsid w:val="001C4DF5"/>
    <w:rsid w:val="001C57D1"/>
    <w:rsid w:val="001C6611"/>
    <w:rsid w:val="001C728C"/>
    <w:rsid w:val="001C7DCF"/>
    <w:rsid w:val="001D13B9"/>
    <w:rsid w:val="001D433C"/>
    <w:rsid w:val="001D4436"/>
    <w:rsid w:val="001D48B0"/>
    <w:rsid w:val="001D4D35"/>
    <w:rsid w:val="001D5D54"/>
    <w:rsid w:val="001D696B"/>
    <w:rsid w:val="001D70A7"/>
    <w:rsid w:val="001D7875"/>
    <w:rsid w:val="001E0938"/>
    <w:rsid w:val="001E173B"/>
    <w:rsid w:val="001E21A9"/>
    <w:rsid w:val="001E3200"/>
    <w:rsid w:val="001E3B44"/>
    <w:rsid w:val="001E4866"/>
    <w:rsid w:val="001E54C2"/>
    <w:rsid w:val="001E5598"/>
    <w:rsid w:val="001E5E62"/>
    <w:rsid w:val="001E5F25"/>
    <w:rsid w:val="001E692C"/>
    <w:rsid w:val="001E78C5"/>
    <w:rsid w:val="001F19FF"/>
    <w:rsid w:val="001F37B5"/>
    <w:rsid w:val="001F3F6C"/>
    <w:rsid w:val="001F48D1"/>
    <w:rsid w:val="001F49D2"/>
    <w:rsid w:val="001F4A3C"/>
    <w:rsid w:val="001F555C"/>
    <w:rsid w:val="001F59F9"/>
    <w:rsid w:val="001F6F29"/>
    <w:rsid w:val="00201496"/>
    <w:rsid w:val="0020180E"/>
    <w:rsid w:val="00202778"/>
    <w:rsid w:val="00202918"/>
    <w:rsid w:val="002029DF"/>
    <w:rsid w:val="00205FDF"/>
    <w:rsid w:val="00206169"/>
    <w:rsid w:val="00206DD5"/>
    <w:rsid w:val="002072BE"/>
    <w:rsid w:val="00207D5E"/>
    <w:rsid w:val="00210CCA"/>
    <w:rsid w:val="00210FAD"/>
    <w:rsid w:val="0021190B"/>
    <w:rsid w:val="0021257F"/>
    <w:rsid w:val="002128E6"/>
    <w:rsid w:val="00212972"/>
    <w:rsid w:val="0021300D"/>
    <w:rsid w:val="00213F1C"/>
    <w:rsid w:val="0021611D"/>
    <w:rsid w:val="00216B9B"/>
    <w:rsid w:val="00217444"/>
    <w:rsid w:val="00220412"/>
    <w:rsid w:val="00220B92"/>
    <w:rsid w:val="00220D4A"/>
    <w:rsid w:val="002234E2"/>
    <w:rsid w:val="00223E91"/>
    <w:rsid w:val="00226369"/>
    <w:rsid w:val="00226CE2"/>
    <w:rsid w:val="00230BBE"/>
    <w:rsid w:val="002328E8"/>
    <w:rsid w:val="00232BC6"/>
    <w:rsid w:val="00233560"/>
    <w:rsid w:val="002336D8"/>
    <w:rsid w:val="00234335"/>
    <w:rsid w:val="00235F00"/>
    <w:rsid w:val="0023632A"/>
    <w:rsid w:val="00240118"/>
    <w:rsid w:val="00240494"/>
    <w:rsid w:val="00241A5D"/>
    <w:rsid w:val="00241DA6"/>
    <w:rsid w:val="0024239F"/>
    <w:rsid w:val="00242B4B"/>
    <w:rsid w:val="00243039"/>
    <w:rsid w:val="0024365F"/>
    <w:rsid w:val="00243B07"/>
    <w:rsid w:val="002455B2"/>
    <w:rsid w:val="00246462"/>
    <w:rsid w:val="00246741"/>
    <w:rsid w:val="00246FE0"/>
    <w:rsid w:val="00247102"/>
    <w:rsid w:val="00247C1C"/>
    <w:rsid w:val="00252ECE"/>
    <w:rsid w:val="0025383C"/>
    <w:rsid w:val="002546BD"/>
    <w:rsid w:val="0025570B"/>
    <w:rsid w:val="00256764"/>
    <w:rsid w:val="00257E86"/>
    <w:rsid w:val="00260D47"/>
    <w:rsid w:val="0026101F"/>
    <w:rsid w:val="00262E5A"/>
    <w:rsid w:val="00264396"/>
    <w:rsid w:val="0026554E"/>
    <w:rsid w:val="002657E2"/>
    <w:rsid w:val="002675B3"/>
    <w:rsid w:val="00267CD6"/>
    <w:rsid w:val="0027011D"/>
    <w:rsid w:val="00270E56"/>
    <w:rsid w:val="00271C27"/>
    <w:rsid w:val="00271E24"/>
    <w:rsid w:val="00272388"/>
    <w:rsid w:val="00272778"/>
    <w:rsid w:val="0027355A"/>
    <w:rsid w:val="00275AA7"/>
    <w:rsid w:val="00276993"/>
    <w:rsid w:val="002773B3"/>
    <w:rsid w:val="00281605"/>
    <w:rsid w:val="00282BE1"/>
    <w:rsid w:val="002845BB"/>
    <w:rsid w:val="002846FD"/>
    <w:rsid w:val="00285DC9"/>
    <w:rsid w:val="00290967"/>
    <w:rsid w:val="00291140"/>
    <w:rsid w:val="0029147D"/>
    <w:rsid w:val="00291728"/>
    <w:rsid w:val="002933A1"/>
    <w:rsid w:val="00293788"/>
    <w:rsid w:val="0029390E"/>
    <w:rsid w:val="00294DE9"/>
    <w:rsid w:val="00295065"/>
    <w:rsid w:val="00295467"/>
    <w:rsid w:val="002961C7"/>
    <w:rsid w:val="002964D8"/>
    <w:rsid w:val="00297267"/>
    <w:rsid w:val="002A11D7"/>
    <w:rsid w:val="002A24C5"/>
    <w:rsid w:val="002A49AB"/>
    <w:rsid w:val="002A4C95"/>
    <w:rsid w:val="002A4EE7"/>
    <w:rsid w:val="002A628F"/>
    <w:rsid w:val="002A69B8"/>
    <w:rsid w:val="002A69D1"/>
    <w:rsid w:val="002A6D9A"/>
    <w:rsid w:val="002A7E15"/>
    <w:rsid w:val="002B39F7"/>
    <w:rsid w:val="002B52B5"/>
    <w:rsid w:val="002C0391"/>
    <w:rsid w:val="002C080D"/>
    <w:rsid w:val="002C48A3"/>
    <w:rsid w:val="002C4BFC"/>
    <w:rsid w:val="002C6C7B"/>
    <w:rsid w:val="002C71FD"/>
    <w:rsid w:val="002C75C8"/>
    <w:rsid w:val="002D02A9"/>
    <w:rsid w:val="002D0A67"/>
    <w:rsid w:val="002D2E7C"/>
    <w:rsid w:val="002D3D7D"/>
    <w:rsid w:val="002D4927"/>
    <w:rsid w:val="002D4B21"/>
    <w:rsid w:val="002D5CB6"/>
    <w:rsid w:val="002D6049"/>
    <w:rsid w:val="002D7D0E"/>
    <w:rsid w:val="002D7D68"/>
    <w:rsid w:val="002E0838"/>
    <w:rsid w:val="002E1075"/>
    <w:rsid w:val="002E14AC"/>
    <w:rsid w:val="002E2AEE"/>
    <w:rsid w:val="002E4B0B"/>
    <w:rsid w:val="002E5307"/>
    <w:rsid w:val="002E5864"/>
    <w:rsid w:val="002E6B2E"/>
    <w:rsid w:val="002E6F9C"/>
    <w:rsid w:val="002F03CB"/>
    <w:rsid w:val="002F08D4"/>
    <w:rsid w:val="002F0CE9"/>
    <w:rsid w:val="002F1AFF"/>
    <w:rsid w:val="002F50D5"/>
    <w:rsid w:val="002F68A6"/>
    <w:rsid w:val="002F6D1D"/>
    <w:rsid w:val="00300235"/>
    <w:rsid w:val="00303D03"/>
    <w:rsid w:val="00305494"/>
    <w:rsid w:val="0030663E"/>
    <w:rsid w:val="003110A9"/>
    <w:rsid w:val="003118A5"/>
    <w:rsid w:val="00311A64"/>
    <w:rsid w:val="00312FA6"/>
    <w:rsid w:val="0031426C"/>
    <w:rsid w:val="00315B9E"/>
    <w:rsid w:val="00316683"/>
    <w:rsid w:val="00317711"/>
    <w:rsid w:val="003208A6"/>
    <w:rsid w:val="00320A0F"/>
    <w:rsid w:val="003241B3"/>
    <w:rsid w:val="00324984"/>
    <w:rsid w:val="00324BC4"/>
    <w:rsid w:val="00325BD9"/>
    <w:rsid w:val="00326178"/>
    <w:rsid w:val="0033037F"/>
    <w:rsid w:val="0033279B"/>
    <w:rsid w:val="00332F58"/>
    <w:rsid w:val="00334653"/>
    <w:rsid w:val="003350FB"/>
    <w:rsid w:val="003378C5"/>
    <w:rsid w:val="0034040D"/>
    <w:rsid w:val="00341310"/>
    <w:rsid w:val="003417ED"/>
    <w:rsid w:val="003419B4"/>
    <w:rsid w:val="00342169"/>
    <w:rsid w:val="0034323F"/>
    <w:rsid w:val="00343DBD"/>
    <w:rsid w:val="00343F66"/>
    <w:rsid w:val="0034543F"/>
    <w:rsid w:val="00347818"/>
    <w:rsid w:val="00350509"/>
    <w:rsid w:val="003512B1"/>
    <w:rsid w:val="00352F81"/>
    <w:rsid w:val="00353389"/>
    <w:rsid w:val="0035488D"/>
    <w:rsid w:val="00355244"/>
    <w:rsid w:val="0035644B"/>
    <w:rsid w:val="00357498"/>
    <w:rsid w:val="00357EF3"/>
    <w:rsid w:val="00361F2C"/>
    <w:rsid w:val="003621EB"/>
    <w:rsid w:val="00362212"/>
    <w:rsid w:val="00363083"/>
    <w:rsid w:val="00363196"/>
    <w:rsid w:val="00364CCE"/>
    <w:rsid w:val="00367193"/>
    <w:rsid w:val="00371568"/>
    <w:rsid w:val="00372BB8"/>
    <w:rsid w:val="00373E55"/>
    <w:rsid w:val="003740CA"/>
    <w:rsid w:val="00374212"/>
    <w:rsid w:val="0037515E"/>
    <w:rsid w:val="003754A5"/>
    <w:rsid w:val="00375B6B"/>
    <w:rsid w:val="0038204B"/>
    <w:rsid w:val="003820DF"/>
    <w:rsid w:val="003831F6"/>
    <w:rsid w:val="00384487"/>
    <w:rsid w:val="0038483C"/>
    <w:rsid w:val="003863E5"/>
    <w:rsid w:val="00391895"/>
    <w:rsid w:val="003933BD"/>
    <w:rsid w:val="0039645D"/>
    <w:rsid w:val="00396AE7"/>
    <w:rsid w:val="003979C5"/>
    <w:rsid w:val="003A0601"/>
    <w:rsid w:val="003A3557"/>
    <w:rsid w:val="003A3BAA"/>
    <w:rsid w:val="003A41C2"/>
    <w:rsid w:val="003A4861"/>
    <w:rsid w:val="003A4A60"/>
    <w:rsid w:val="003A5B1D"/>
    <w:rsid w:val="003A7032"/>
    <w:rsid w:val="003A7F1E"/>
    <w:rsid w:val="003B00E1"/>
    <w:rsid w:val="003B0C97"/>
    <w:rsid w:val="003B14E0"/>
    <w:rsid w:val="003B1543"/>
    <w:rsid w:val="003B17D3"/>
    <w:rsid w:val="003B3071"/>
    <w:rsid w:val="003B6370"/>
    <w:rsid w:val="003B699D"/>
    <w:rsid w:val="003B7E87"/>
    <w:rsid w:val="003B7FFD"/>
    <w:rsid w:val="003C008B"/>
    <w:rsid w:val="003C08AD"/>
    <w:rsid w:val="003C12FD"/>
    <w:rsid w:val="003C15B1"/>
    <w:rsid w:val="003C1A76"/>
    <w:rsid w:val="003C4EB2"/>
    <w:rsid w:val="003C566A"/>
    <w:rsid w:val="003C714C"/>
    <w:rsid w:val="003C76E6"/>
    <w:rsid w:val="003D1884"/>
    <w:rsid w:val="003D1F8C"/>
    <w:rsid w:val="003D20DA"/>
    <w:rsid w:val="003D3DA1"/>
    <w:rsid w:val="003D3F37"/>
    <w:rsid w:val="003D5D09"/>
    <w:rsid w:val="003E1DF6"/>
    <w:rsid w:val="003E1E00"/>
    <w:rsid w:val="003E3263"/>
    <w:rsid w:val="003E484B"/>
    <w:rsid w:val="003E7333"/>
    <w:rsid w:val="003F108B"/>
    <w:rsid w:val="003F178B"/>
    <w:rsid w:val="003F1965"/>
    <w:rsid w:val="003F19C0"/>
    <w:rsid w:val="003F32E3"/>
    <w:rsid w:val="003F3C63"/>
    <w:rsid w:val="003F5207"/>
    <w:rsid w:val="003F7ADC"/>
    <w:rsid w:val="004003C9"/>
    <w:rsid w:val="004003D8"/>
    <w:rsid w:val="00400D96"/>
    <w:rsid w:val="0040156F"/>
    <w:rsid w:val="00401921"/>
    <w:rsid w:val="004027A7"/>
    <w:rsid w:val="0040346C"/>
    <w:rsid w:val="0040363A"/>
    <w:rsid w:val="00403C28"/>
    <w:rsid w:val="00403DF9"/>
    <w:rsid w:val="00404559"/>
    <w:rsid w:val="00404C1E"/>
    <w:rsid w:val="00405E31"/>
    <w:rsid w:val="004062A2"/>
    <w:rsid w:val="00406879"/>
    <w:rsid w:val="004077C9"/>
    <w:rsid w:val="00407F36"/>
    <w:rsid w:val="00411512"/>
    <w:rsid w:val="00412B3C"/>
    <w:rsid w:val="00412DD5"/>
    <w:rsid w:val="00413793"/>
    <w:rsid w:val="00417277"/>
    <w:rsid w:val="00417A4E"/>
    <w:rsid w:val="00417CDB"/>
    <w:rsid w:val="00420167"/>
    <w:rsid w:val="0042040C"/>
    <w:rsid w:val="00420538"/>
    <w:rsid w:val="0042151F"/>
    <w:rsid w:val="00421A3C"/>
    <w:rsid w:val="0042277B"/>
    <w:rsid w:val="00422FAD"/>
    <w:rsid w:val="00424BE3"/>
    <w:rsid w:val="00430170"/>
    <w:rsid w:val="00430221"/>
    <w:rsid w:val="00430B14"/>
    <w:rsid w:val="00431108"/>
    <w:rsid w:val="00431A85"/>
    <w:rsid w:val="0043309F"/>
    <w:rsid w:val="00434A25"/>
    <w:rsid w:val="00434F72"/>
    <w:rsid w:val="004353D9"/>
    <w:rsid w:val="00440768"/>
    <w:rsid w:val="00441020"/>
    <w:rsid w:val="00441997"/>
    <w:rsid w:val="00442009"/>
    <w:rsid w:val="004426AB"/>
    <w:rsid w:val="00443784"/>
    <w:rsid w:val="004473D7"/>
    <w:rsid w:val="00447765"/>
    <w:rsid w:val="004479E3"/>
    <w:rsid w:val="00451C47"/>
    <w:rsid w:val="004520B9"/>
    <w:rsid w:val="00453C4C"/>
    <w:rsid w:val="00455B5D"/>
    <w:rsid w:val="00460AE8"/>
    <w:rsid w:val="00462A93"/>
    <w:rsid w:val="00463555"/>
    <w:rsid w:val="00464D8E"/>
    <w:rsid w:val="004658FF"/>
    <w:rsid w:val="00465A47"/>
    <w:rsid w:val="00465ACE"/>
    <w:rsid w:val="00466268"/>
    <w:rsid w:val="004669A6"/>
    <w:rsid w:val="00466CD7"/>
    <w:rsid w:val="00467721"/>
    <w:rsid w:val="0046773B"/>
    <w:rsid w:val="00473A07"/>
    <w:rsid w:val="00473CF8"/>
    <w:rsid w:val="00473DDF"/>
    <w:rsid w:val="00475507"/>
    <w:rsid w:val="0047587A"/>
    <w:rsid w:val="00475D2F"/>
    <w:rsid w:val="00475DB4"/>
    <w:rsid w:val="004762F9"/>
    <w:rsid w:val="00477191"/>
    <w:rsid w:val="0048043A"/>
    <w:rsid w:val="00482517"/>
    <w:rsid w:val="004827BC"/>
    <w:rsid w:val="004837CB"/>
    <w:rsid w:val="00483A88"/>
    <w:rsid w:val="00483C41"/>
    <w:rsid w:val="0048553A"/>
    <w:rsid w:val="0048595C"/>
    <w:rsid w:val="004941EC"/>
    <w:rsid w:val="004947AF"/>
    <w:rsid w:val="0049617C"/>
    <w:rsid w:val="004965AF"/>
    <w:rsid w:val="00496784"/>
    <w:rsid w:val="004A0ECD"/>
    <w:rsid w:val="004A0FBD"/>
    <w:rsid w:val="004A1DE7"/>
    <w:rsid w:val="004A239C"/>
    <w:rsid w:val="004A3702"/>
    <w:rsid w:val="004A3B9A"/>
    <w:rsid w:val="004A3BBD"/>
    <w:rsid w:val="004A3C9A"/>
    <w:rsid w:val="004A40C4"/>
    <w:rsid w:val="004A49A3"/>
    <w:rsid w:val="004A5D12"/>
    <w:rsid w:val="004A621B"/>
    <w:rsid w:val="004A6625"/>
    <w:rsid w:val="004A6B2F"/>
    <w:rsid w:val="004A7310"/>
    <w:rsid w:val="004B0AA8"/>
    <w:rsid w:val="004B336B"/>
    <w:rsid w:val="004B43A8"/>
    <w:rsid w:val="004B47CF"/>
    <w:rsid w:val="004B56A5"/>
    <w:rsid w:val="004B666E"/>
    <w:rsid w:val="004C0669"/>
    <w:rsid w:val="004C1BC1"/>
    <w:rsid w:val="004C227A"/>
    <w:rsid w:val="004C36CD"/>
    <w:rsid w:val="004C4190"/>
    <w:rsid w:val="004C4758"/>
    <w:rsid w:val="004C501E"/>
    <w:rsid w:val="004C6417"/>
    <w:rsid w:val="004C6BA2"/>
    <w:rsid w:val="004C75B8"/>
    <w:rsid w:val="004C7D07"/>
    <w:rsid w:val="004D063A"/>
    <w:rsid w:val="004D294C"/>
    <w:rsid w:val="004D2D56"/>
    <w:rsid w:val="004D4814"/>
    <w:rsid w:val="004E3577"/>
    <w:rsid w:val="004E3958"/>
    <w:rsid w:val="004E3C40"/>
    <w:rsid w:val="004E3CC6"/>
    <w:rsid w:val="004E3E97"/>
    <w:rsid w:val="004E443C"/>
    <w:rsid w:val="004E4CEC"/>
    <w:rsid w:val="004E5E75"/>
    <w:rsid w:val="004E7DF3"/>
    <w:rsid w:val="004F05E7"/>
    <w:rsid w:val="004F0E05"/>
    <w:rsid w:val="004F2E8A"/>
    <w:rsid w:val="004F3A24"/>
    <w:rsid w:val="004F4085"/>
    <w:rsid w:val="004F42A9"/>
    <w:rsid w:val="004F48DC"/>
    <w:rsid w:val="004F6F27"/>
    <w:rsid w:val="00500436"/>
    <w:rsid w:val="00501366"/>
    <w:rsid w:val="00501B23"/>
    <w:rsid w:val="00502BFD"/>
    <w:rsid w:val="00503639"/>
    <w:rsid w:val="0050385B"/>
    <w:rsid w:val="0050483D"/>
    <w:rsid w:val="00505395"/>
    <w:rsid w:val="00507A4F"/>
    <w:rsid w:val="00507CDA"/>
    <w:rsid w:val="00512B32"/>
    <w:rsid w:val="00514110"/>
    <w:rsid w:val="00514532"/>
    <w:rsid w:val="00514B11"/>
    <w:rsid w:val="0051557D"/>
    <w:rsid w:val="0051680A"/>
    <w:rsid w:val="00516A52"/>
    <w:rsid w:val="00517B94"/>
    <w:rsid w:val="00517DD9"/>
    <w:rsid w:val="00520F46"/>
    <w:rsid w:val="00521BC5"/>
    <w:rsid w:val="00523D20"/>
    <w:rsid w:val="005248BC"/>
    <w:rsid w:val="005254BD"/>
    <w:rsid w:val="00525721"/>
    <w:rsid w:val="00525C9B"/>
    <w:rsid w:val="0052650D"/>
    <w:rsid w:val="0052737F"/>
    <w:rsid w:val="00527860"/>
    <w:rsid w:val="00527FE9"/>
    <w:rsid w:val="005342FD"/>
    <w:rsid w:val="00534809"/>
    <w:rsid w:val="005352A8"/>
    <w:rsid w:val="00535726"/>
    <w:rsid w:val="00536872"/>
    <w:rsid w:val="00536A71"/>
    <w:rsid w:val="00536ED3"/>
    <w:rsid w:val="00537880"/>
    <w:rsid w:val="005406AA"/>
    <w:rsid w:val="005410E8"/>
    <w:rsid w:val="00541952"/>
    <w:rsid w:val="005421B6"/>
    <w:rsid w:val="00543834"/>
    <w:rsid w:val="00543C8D"/>
    <w:rsid w:val="005455B3"/>
    <w:rsid w:val="00545B56"/>
    <w:rsid w:val="00545D56"/>
    <w:rsid w:val="00546CC6"/>
    <w:rsid w:val="0054765C"/>
    <w:rsid w:val="00547CCD"/>
    <w:rsid w:val="00547DF6"/>
    <w:rsid w:val="00551BB6"/>
    <w:rsid w:val="0055301C"/>
    <w:rsid w:val="005549E8"/>
    <w:rsid w:val="00555CDB"/>
    <w:rsid w:val="00556596"/>
    <w:rsid w:val="00556F82"/>
    <w:rsid w:val="0056025D"/>
    <w:rsid w:val="005603C0"/>
    <w:rsid w:val="005611F7"/>
    <w:rsid w:val="0056399A"/>
    <w:rsid w:val="00565017"/>
    <w:rsid w:val="0056583A"/>
    <w:rsid w:val="00567C7A"/>
    <w:rsid w:val="00567D19"/>
    <w:rsid w:val="005707E0"/>
    <w:rsid w:val="0057193C"/>
    <w:rsid w:val="0057201B"/>
    <w:rsid w:val="005729F1"/>
    <w:rsid w:val="005738FF"/>
    <w:rsid w:val="00576D6A"/>
    <w:rsid w:val="00577319"/>
    <w:rsid w:val="005779FE"/>
    <w:rsid w:val="00577EFE"/>
    <w:rsid w:val="00585CE8"/>
    <w:rsid w:val="005874A2"/>
    <w:rsid w:val="005879EA"/>
    <w:rsid w:val="005910A8"/>
    <w:rsid w:val="00591CA4"/>
    <w:rsid w:val="00592B71"/>
    <w:rsid w:val="0059441E"/>
    <w:rsid w:val="005947CA"/>
    <w:rsid w:val="00595774"/>
    <w:rsid w:val="005968C0"/>
    <w:rsid w:val="00596FA6"/>
    <w:rsid w:val="005A0C78"/>
    <w:rsid w:val="005A11CB"/>
    <w:rsid w:val="005A2029"/>
    <w:rsid w:val="005A3BE9"/>
    <w:rsid w:val="005A4EEB"/>
    <w:rsid w:val="005A5045"/>
    <w:rsid w:val="005A56ED"/>
    <w:rsid w:val="005A5B71"/>
    <w:rsid w:val="005A7C28"/>
    <w:rsid w:val="005B0C50"/>
    <w:rsid w:val="005B0D8D"/>
    <w:rsid w:val="005B2B02"/>
    <w:rsid w:val="005B33E8"/>
    <w:rsid w:val="005B6694"/>
    <w:rsid w:val="005B72A4"/>
    <w:rsid w:val="005B7842"/>
    <w:rsid w:val="005C0EDF"/>
    <w:rsid w:val="005C1C93"/>
    <w:rsid w:val="005C2103"/>
    <w:rsid w:val="005C3706"/>
    <w:rsid w:val="005C55E4"/>
    <w:rsid w:val="005C59CC"/>
    <w:rsid w:val="005C5D03"/>
    <w:rsid w:val="005D16B1"/>
    <w:rsid w:val="005D24C4"/>
    <w:rsid w:val="005D2D3D"/>
    <w:rsid w:val="005D2F9A"/>
    <w:rsid w:val="005D5357"/>
    <w:rsid w:val="005D58B8"/>
    <w:rsid w:val="005D5F6F"/>
    <w:rsid w:val="005E0486"/>
    <w:rsid w:val="005E075B"/>
    <w:rsid w:val="005E08E7"/>
    <w:rsid w:val="005E1A09"/>
    <w:rsid w:val="005E3A20"/>
    <w:rsid w:val="005F0113"/>
    <w:rsid w:val="005F21C5"/>
    <w:rsid w:val="005F284E"/>
    <w:rsid w:val="005F2FB8"/>
    <w:rsid w:val="005F3E0A"/>
    <w:rsid w:val="005F4918"/>
    <w:rsid w:val="005F6007"/>
    <w:rsid w:val="00600C33"/>
    <w:rsid w:val="00602C7B"/>
    <w:rsid w:val="00604184"/>
    <w:rsid w:val="00605305"/>
    <w:rsid w:val="006061F8"/>
    <w:rsid w:val="0060620E"/>
    <w:rsid w:val="006073A2"/>
    <w:rsid w:val="00607EC8"/>
    <w:rsid w:val="00611A81"/>
    <w:rsid w:val="00612A41"/>
    <w:rsid w:val="00612CAA"/>
    <w:rsid w:val="006148F0"/>
    <w:rsid w:val="00615A14"/>
    <w:rsid w:val="00615C04"/>
    <w:rsid w:val="00617C4B"/>
    <w:rsid w:val="0062105E"/>
    <w:rsid w:val="00621865"/>
    <w:rsid w:val="0062232B"/>
    <w:rsid w:val="00622F0B"/>
    <w:rsid w:val="00625127"/>
    <w:rsid w:val="00625C43"/>
    <w:rsid w:val="00625E6E"/>
    <w:rsid w:val="006263FC"/>
    <w:rsid w:val="0062662F"/>
    <w:rsid w:val="0063010F"/>
    <w:rsid w:val="00633869"/>
    <w:rsid w:val="00634146"/>
    <w:rsid w:val="0063436D"/>
    <w:rsid w:val="00634C6E"/>
    <w:rsid w:val="00637838"/>
    <w:rsid w:val="0064344D"/>
    <w:rsid w:val="006448D5"/>
    <w:rsid w:val="006458E9"/>
    <w:rsid w:val="0064591F"/>
    <w:rsid w:val="00646BD8"/>
    <w:rsid w:val="006477F7"/>
    <w:rsid w:val="00650B80"/>
    <w:rsid w:val="00651E5A"/>
    <w:rsid w:val="00654743"/>
    <w:rsid w:val="00657302"/>
    <w:rsid w:val="00657A26"/>
    <w:rsid w:val="0066009C"/>
    <w:rsid w:val="006606E7"/>
    <w:rsid w:val="00660C5A"/>
    <w:rsid w:val="00662962"/>
    <w:rsid w:val="00664C05"/>
    <w:rsid w:val="00666B02"/>
    <w:rsid w:val="006679EF"/>
    <w:rsid w:val="00670CFC"/>
    <w:rsid w:val="00672CFC"/>
    <w:rsid w:val="00674137"/>
    <w:rsid w:val="00674D9D"/>
    <w:rsid w:val="00674FC7"/>
    <w:rsid w:val="00680BA8"/>
    <w:rsid w:val="006817D6"/>
    <w:rsid w:val="00681EF2"/>
    <w:rsid w:val="0068307D"/>
    <w:rsid w:val="0068393C"/>
    <w:rsid w:val="00684753"/>
    <w:rsid w:val="0068691C"/>
    <w:rsid w:val="00686C50"/>
    <w:rsid w:val="006874F3"/>
    <w:rsid w:val="006913D6"/>
    <w:rsid w:val="006919AA"/>
    <w:rsid w:val="00692182"/>
    <w:rsid w:val="00692D09"/>
    <w:rsid w:val="00693068"/>
    <w:rsid w:val="006935E0"/>
    <w:rsid w:val="00694144"/>
    <w:rsid w:val="00694605"/>
    <w:rsid w:val="0069571C"/>
    <w:rsid w:val="0069628E"/>
    <w:rsid w:val="00696F2F"/>
    <w:rsid w:val="00697BCA"/>
    <w:rsid w:val="00697CDA"/>
    <w:rsid w:val="006A048E"/>
    <w:rsid w:val="006A2669"/>
    <w:rsid w:val="006A2895"/>
    <w:rsid w:val="006A2D6A"/>
    <w:rsid w:val="006A33AE"/>
    <w:rsid w:val="006A3F67"/>
    <w:rsid w:val="006A719E"/>
    <w:rsid w:val="006B16FF"/>
    <w:rsid w:val="006B2290"/>
    <w:rsid w:val="006B2E76"/>
    <w:rsid w:val="006B2EAA"/>
    <w:rsid w:val="006B4D85"/>
    <w:rsid w:val="006B610B"/>
    <w:rsid w:val="006C0086"/>
    <w:rsid w:val="006C03FE"/>
    <w:rsid w:val="006C0780"/>
    <w:rsid w:val="006C49ED"/>
    <w:rsid w:val="006C599A"/>
    <w:rsid w:val="006C5C6C"/>
    <w:rsid w:val="006C6CC6"/>
    <w:rsid w:val="006C76EC"/>
    <w:rsid w:val="006D13AB"/>
    <w:rsid w:val="006D21A7"/>
    <w:rsid w:val="006D2C44"/>
    <w:rsid w:val="006D4201"/>
    <w:rsid w:val="006D43EF"/>
    <w:rsid w:val="006D4D8A"/>
    <w:rsid w:val="006D59B1"/>
    <w:rsid w:val="006D765D"/>
    <w:rsid w:val="006E0A1B"/>
    <w:rsid w:val="006E1B64"/>
    <w:rsid w:val="006E23B6"/>
    <w:rsid w:val="006F021A"/>
    <w:rsid w:val="006F0896"/>
    <w:rsid w:val="006F350B"/>
    <w:rsid w:val="006F43EB"/>
    <w:rsid w:val="006F52B6"/>
    <w:rsid w:val="006F5E76"/>
    <w:rsid w:val="006F6171"/>
    <w:rsid w:val="006F67B7"/>
    <w:rsid w:val="006F6E06"/>
    <w:rsid w:val="007009A1"/>
    <w:rsid w:val="00702229"/>
    <w:rsid w:val="00702424"/>
    <w:rsid w:val="00703E43"/>
    <w:rsid w:val="00704A5E"/>
    <w:rsid w:val="00705F79"/>
    <w:rsid w:val="00710D4F"/>
    <w:rsid w:val="00711B43"/>
    <w:rsid w:val="007130F7"/>
    <w:rsid w:val="00713946"/>
    <w:rsid w:val="00715C83"/>
    <w:rsid w:val="007167CD"/>
    <w:rsid w:val="007177A7"/>
    <w:rsid w:val="00717B9A"/>
    <w:rsid w:val="00725312"/>
    <w:rsid w:val="00725603"/>
    <w:rsid w:val="00725911"/>
    <w:rsid w:val="00725948"/>
    <w:rsid w:val="00725E3F"/>
    <w:rsid w:val="00725F6E"/>
    <w:rsid w:val="0072669A"/>
    <w:rsid w:val="00727AC8"/>
    <w:rsid w:val="00731B0F"/>
    <w:rsid w:val="007329AE"/>
    <w:rsid w:val="007337A3"/>
    <w:rsid w:val="007339E4"/>
    <w:rsid w:val="00735E84"/>
    <w:rsid w:val="007415CB"/>
    <w:rsid w:val="007433F9"/>
    <w:rsid w:val="007438AC"/>
    <w:rsid w:val="007442E4"/>
    <w:rsid w:val="007449D0"/>
    <w:rsid w:val="007455CC"/>
    <w:rsid w:val="007508C2"/>
    <w:rsid w:val="00751464"/>
    <w:rsid w:val="00751D08"/>
    <w:rsid w:val="00752190"/>
    <w:rsid w:val="007527D0"/>
    <w:rsid w:val="00753928"/>
    <w:rsid w:val="00753A7F"/>
    <w:rsid w:val="00755F20"/>
    <w:rsid w:val="007565FF"/>
    <w:rsid w:val="00756759"/>
    <w:rsid w:val="00756B36"/>
    <w:rsid w:val="00762E5E"/>
    <w:rsid w:val="007633C1"/>
    <w:rsid w:val="00765148"/>
    <w:rsid w:val="00766E68"/>
    <w:rsid w:val="00767539"/>
    <w:rsid w:val="00771489"/>
    <w:rsid w:val="007722C0"/>
    <w:rsid w:val="007744CD"/>
    <w:rsid w:val="00776236"/>
    <w:rsid w:val="00777442"/>
    <w:rsid w:val="007815AB"/>
    <w:rsid w:val="0078161E"/>
    <w:rsid w:val="00781E6D"/>
    <w:rsid w:val="00783154"/>
    <w:rsid w:val="0078347A"/>
    <w:rsid w:val="00783E7F"/>
    <w:rsid w:val="007841A4"/>
    <w:rsid w:val="00784247"/>
    <w:rsid w:val="00784B71"/>
    <w:rsid w:val="007857C3"/>
    <w:rsid w:val="00791130"/>
    <w:rsid w:val="007937B2"/>
    <w:rsid w:val="0079552C"/>
    <w:rsid w:val="00795810"/>
    <w:rsid w:val="007A266A"/>
    <w:rsid w:val="007A3616"/>
    <w:rsid w:val="007A420D"/>
    <w:rsid w:val="007A4E8D"/>
    <w:rsid w:val="007A533D"/>
    <w:rsid w:val="007A622E"/>
    <w:rsid w:val="007A6380"/>
    <w:rsid w:val="007A7993"/>
    <w:rsid w:val="007B09D6"/>
    <w:rsid w:val="007B1414"/>
    <w:rsid w:val="007B226F"/>
    <w:rsid w:val="007B25C0"/>
    <w:rsid w:val="007B272D"/>
    <w:rsid w:val="007B2D88"/>
    <w:rsid w:val="007B4FE1"/>
    <w:rsid w:val="007B55A6"/>
    <w:rsid w:val="007B5C79"/>
    <w:rsid w:val="007B68BC"/>
    <w:rsid w:val="007B707F"/>
    <w:rsid w:val="007C05A7"/>
    <w:rsid w:val="007C08A2"/>
    <w:rsid w:val="007C14B6"/>
    <w:rsid w:val="007C230E"/>
    <w:rsid w:val="007C2AEC"/>
    <w:rsid w:val="007C54C2"/>
    <w:rsid w:val="007C54EE"/>
    <w:rsid w:val="007C5B61"/>
    <w:rsid w:val="007C7242"/>
    <w:rsid w:val="007C7544"/>
    <w:rsid w:val="007D275B"/>
    <w:rsid w:val="007D4A29"/>
    <w:rsid w:val="007D5228"/>
    <w:rsid w:val="007D6B02"/>
    <w:rsid w:val="007D7327"/>
    <w:rsid w:val="007E0048"/>
    <w:rsid w:val="007E0D45"/>
    <w:rsid w:val="007E15FC"/>
    <w:rsid w:val="007E4BB6"/>
    <w:rsid w:val="007E4E2A"/>
    <w:rsid w:val="007E523D"/>
    <w:rsid w:val="007E63B5"/>
    <w:rsid w:val="007E735C"/>
    <w:rsid w:val="007F036E"/>
    <w:rsid w:val="007F1526"/>
    <w:rsid w:val="007F1AB6"/>
    <w:rsid w:val="007F1FFA"/>
    <w:rsid w:val="007F2491"/>
    <w:rsid w:val="007F2754"/>
    <w:rsid w:val="007F3207"/>
    <w:rsid w:val="007F3358"/>
    <w:rsid w:val="007F5C51"/>
    <w:rsid w:val="007F6A28"/>
    <w:rsid w:val="007F7080"/>
    <w:rsid w:val="007F7E93"/>
    <w:rsid w:val="008007FD"/>
    <w:rsid w:val="008032FF"/>
    <w:rsid w:val="00803763"/>
    <w:rsid w:val="00804080"/>
    <w:rsid w:val="00805314"/>
    <w:rsid w:val="00806138"/>
    <w:rsid w:val="00807199"/>
    <w:rsid w:val="00807811"/>
    <w:rsid w:val="0081017F"/>
    <w:rsid w:val="008108BF"/>
    <w:rsid w:val="0081130F"/>
    <w:rsid w:val="00811929"/>
    <w:rsid w:val="00811F6A"/>
    <w:rsid w:val="00812048"/>
    <w:rsid w:val="0081558E"/>
    <w:rsid w:val="00815C6A"/>
    <w:rsid w:val="008170ED"/>
    <w:rsid w:val="00822BBD"/>
    <w:rsid w:val="008234E4"/>
    <w:rsid w:val="00824382"/>
    <w:rsid w:val="00825C15"/>
    <w:rsid w:val="00826553"/>
    <w:rsid w:val="008265AA"/>
    <w:rsid w:val="0082677D"/>
    <w:rsid w:val="0082727C"/>
    <w:rsid w:val="00830D89"/>
    <w:rsid w:val="00831554"/>
    <w:rsid w:val="00833336"/>
    <w:rsid w:val="00833500"/>
    <w:rsid w:val="00834590"/>
    <w:rsid w:val="00834DA4"/>
    <w:rsid w:val="00836F1D"/>
    <w:rsid w:val="008429CD"/>
    <w:rsid w:val="00842CF2"/>
    <w:rsid w:val="00844B3D"/>
    <w:rsid w:val="008464BE"/>
    <w:rsid w:val="00847FC9"/>
    <w:rsid w:val="008503ED"/>
    <w:rsid w:val="008507B4"/>
    <w:rsid w:val="00850B37"/>
    <w:rsid w:val="0085183C"/>
    <w:rsid w:val="00851F2B"/>
    <w:rsid w:val="0085300F"/>
    <w:rsid w:val="0085520E"/>
    <w:rsid w:val="00855929"/>
    <w:rsid w:val="00855E23"/>
    <w:rsid w:val="008561B1"/>
    <w:rsid w:val="00856211"/>
    <w:rsid w:val="008607A0"/>
    <w:rsid w:val="00861287"/>
    <w:rsid w:val="00862B12"/>
    <w:rsid w:val="00863841"/>
    <w:rsid w:val="00863DA7"/>
    <w:rsid w:val="008655EC"/>
    <w:rsid w:val="00866D14"/>
    <w:rsid w:val="00867042"/>
    <w:rsid w:val="00867AB9"/>
    <w:rsid w:val="00867DE0"/>
    <w:rsid w:val="00870947"/>
    <w:rsid w:val="00871825"/>
    <w:rsid w:val="00873994"/>
    <w:rsid w:val="008753A7"/>
    <w:rsid w:val="00875606"/>
    <w:rsid w:val="00876E46"/>
    <w:rsid w:val="00877542"/>
    <w:rsid w:val="00877912"/>
    <w:rsid w:val="00880871"/>
    <w:rsid w:val="008848D7"/>
    <w:rsid w:val="0088507C"/>
    <w:rsid w:val="00885903"/>
    <w:rsid w:val="0088690E"/>
    <w:rsid w:val="00886BC4"/>
    <w:rsid w:val="00887B82"/>
    <w:rsid w:val="008903B6"/>
    <w:rsid w:val="00890D0A"/>
    <w:rsid w:val="00892602"/>
    <w:rsid w:val="0089278C"/>
    <w:rsid w:val="008935B2"/>
    <w:rsid w:val="0089478B"/>
    <w:rsid w:val="00894F9C"/>
    <w:rsid w:val="008953CA"/>
    <w:rsid w:val="008954B6"/>
    <w:rsid w:val="00896666"/>
    <w:rsid w:val="008A15A6"/>
    <w:rsid w:val="008A241B"/>
    <w:rsid w:val="008A7759"/>
    <w:rsid w:val="008B01B3"/>
    <w:rsid w:val="008B0C8B"/>
    <w:rsid w:val="008B16A5"/>
    <w:rsid w:val="008B28C6"/>
    <w:rsid w:val="008B34DD"/>
    <w:rsid w:val="008B6C26"/>
    <w:rsid w:val="008C012C"/>
    <w:rsid w:val="008C077F"/>
    <w:rsid w:val="008C0CE8"/>
    <w:rsid w:val="008C1F44"/>
    <w:rsid w:val="008C446E"/>
    <w:rsid w:val="008C643F"/>
    <w:rsid w:val="008C6996"/>
    <w:rsid w:val="008C6A24"/>
    <w:rsid w:val="008C7D51"/>
    <w:rsid w:val="008D501A"/>
    <w:rsid w:val="008D5F4D"/>
    <w:rsid w:val="008D689E"/>
    <w:rsid w:val="008E002E"/>
    <w:rsid w:val="008E241B"/>
    <w:rsid w:val="008E2D28"/>
    <w:rsid w:val="008E41F6"/>
    <w:rsid w:val="008E7C70"/>
    <w:rsid w:val="008F0D0E"/>
    <w:rsid w:val="008F14AE"/>
    <w:rsid w:val="008F16C2"/>
    <w:rsid w:val="008F2EF5"/>
    <w:rsid w:val="008F307A"/>
    <w:rsid w:val="008F4AD5"/>
    <w:rsid w:val="008F6AF5"/>
    <w:rsid w:val="008F796E"/>
    <w:rsid w:val="00901C38"/>
    <w:rsid w:val="00901D1C"/>
    <w:rsid w:val="009023A8"/>
    <w:rsid w:val="009027F7"/>
    <w:rsid w:val="00903F1C"/>
    <w:rsid w:val="009052A3"/>
    <w:rsid w:val="00905408"/>
    <w:rsid w:val="009057D8"/>
    <w:rsid w:val="00906648"/>
    <w:rsid w:val="00907820"/>
    <w:rsid w:val="0091057D"/>
    <w:rsid w:val="00911293"/>
    <w:rsid w:val="00912C5B"/>
    <w:rsid w:val="009139E1"/>
    <w:rsid w:val="00914165"/>
    <w:rsid w:val="00914174"/>
    <w:rsid w:val="00914A9D"/>
    <w:rsid w:val="00914F38"/>
    <w:rsid w:val="009163C7"/>
    <w:rsid w:val="009204E7"/>
    <w:rsid w:val="009210CB"/>
    <w:rsid w:val="00921C58"/>
    <w:rsid w:val="00922961"/>
    <w:rsid w:val="00925EF7"/>
    <w:rsid w:val="00926CED"/>
    <w:rsid w:val="009272DC"/>
    <w:rsid w:val="009279F1"/>
    <w:rsid w:val="009308DC"/>
    <w:rsid w:val="009310F9"/>
    <w:rsid w:val="0093178D"/>
    <w:rsid w:val="00932C53"/>
    <w:rsid w:val="00932ED3"/>
    <w:rsid w:val="00933EA8"/>
    <w:rsid w:val="00933F75"/>
    <w:rsid w:val="009345C8"/>
    <w:rsid w:val="00936FCC"/>
    <w:rsid w:val="0094084F"/>
    <w:rsid w:val="0094193C"/>
    <w:rsid w:val="0094198B"/>
    <w:rsid w:val="009445D4"/>
    <w:rsid w:val="0094675E"/>
    <w:rsid w:val="00954514"/>
    <w:rsid w:val="009562C5"/>
    <w:rsid w:val="009562FC"/>
    <w:rsid w:val="00960F4A"/>
    <w:rsid w:val="009611E9"/>
    <w:rsid w:val="009612AD"/>
    <w:rsid w:val="009621BB"/>
    <w:rsid w:val="00963412"/>
    <w:rsid w:val="009636E0"/>
    <w:rsid w:val="00965D0C"/>
    <w:rsid w:val="0096624C"/>
    <w:rsid w:val="009669DC"/>
    <w:rsid w:val="00966A31"/>
    <w:rsid w:val="00966B58"/>
    <w:rsid w:val="00967589"/>
    <w:rsid w:val="00967DFF"/>
    <w:rsid w:val="00970191"/>
    <w:rsid w:val="009744E0"/>
    <w:rsid w:val="0097581E"/>
    <w:rsid w:val="009767FA"/>
    <w:rsid w:val="00976DCB"/>
    <w:rsid w:val="00980CD4"/>
    <w:rsid w:val="00981534"/>
    <w:rsid w:val="0098171B"/>
    <w:rsid w:val="00981A07"/>
    <w:rsid w:val="00982370"/>
    <w:rsid w:val="00984189"/>
    <w:rsid w:val="00984D4F"/>
    <w:rsid w:val="00984E81"/>
    <w:rsid w:val="00985B2E"/>
    <w:rsid w:val="00985F43"/>
    <w:rsid w:val="009879EF"/>
    <w:rsid w:val="009927A2"/>
    <w:rsid w:val="009928D5"/>
    <w:rsid w:val="00993546"/>
    <w:rsid w:val="009950DE"/>
    <w:rsid w:val="009975E0"/>
    <w:rsid w:val="009A0586"/>
    <w:rsid w:val="009A316A"/>
    <w:rsid w:val="009A3D6E"/>
    <w:rsid w:val="009A429E"/>
    <w:rsid w:val="009A4F5D"/>
    <w:rsid w:val="009A55F9"/>
    <w:rsid w:val="009A57A7"/>
    <w:rsid w:val="009A5D67"/>
    <w:rsid w:val="009A666F"/>
    <w:rsid w:val="009A7A61"/>
    <w:rsid w:val="009B002E"/>
    <w:rsid w:val="009B1083"/>
    <w:rsid w:val="009B25C8"/>
    <w:rsid w:val="009B3410"/>
    <w:rsid w:val="009B470D"/>
    <w:rsid w:val="009B52F5"/>
    <w:rsid w:val="009B5318"/>
    <w:rsid w:val="009B61FB"/>
    <w:rsid w:val="009B6BF7"/>
    <w:rsid w:val="009B7514"/>
    <w:rsid w:val="009B7F3D"/>
    <w:rsid w:val="009C29F4"/>
    <w:rsid w:val="009C63DC"/>
    <w:rsid w:val="009C7247"/>
    <w:rsid w:val="009D2EB6"/>
    <w:rsid w:val="009D328C"/>
    <w:rsid w:val="009D47EF"/>
    <w:rsid w:val="009D5CAB"/>
    <w:rsid w:val="009D72AB"/>
    <w:rsid w:val="009D752C"/>
    <w:rsid w:val="009E001F"/>
    <w:rsid w:val="009E1157"/>
    <w:rsid w:val="009E291E"/>
    <w:rsid w:val="009E4AF1"/>
    <w:rsid w:val="009E78DB"/>
    <w:rsid w:val="009F23BA"/>
    <w:rsid w:val="009F2648"/>
    <w:rsid w:val="009F3A23"/>
    <w:rsid w:val="009F5A9F"/>
    <w:rsid w:val="009F7129"/>
    <w:rsid w:val="00A006F8"/>
    <w:rsid w:val="00A0173F"/>
    <w:rsid w:val="00A01F0B"/>
    <w:rsid w:val="00A04151"/>
    <w:rsid w:val="00A04C12"/>
    <w:rsid w:val="00A0512D"/>
    <w:rsid w:val="00A0714A"/>
    <w:rsid w:val="00A076C9"/>
    <w:rsid w:val="00A102B9"/>
    <w:rsid w:val="00A12A10"/>
    <w:rsid w:val="00A130D2"/>
    <w:rsid w:val="00A152C7"/>
    <w:rsid w:val="00A15BF8"/>
    <w:rsid w:val="00A15C63"/>
    <w:rsid w:val="00A15CA4"/>
    <w:rsid w:val="00A16683"/>
    <w:rsid w:val="00A16E5C"/>
    <w:rsid w:val="00A17215"/>
    <w:rsid w:val="00A243C5"/>
    <w:rsid w:val="00A247FF"/>
    <w:rsid w:val="00A24C41"/>
    <w:rsid w:val="00A250E8"/>
    <w:rsid w:val="00A27980"/>
    <w:rsid w:val="00A27B90"/>
    <w:rsid w:val="00A30118"/>
    <w:rsid w:val="00A30759"/>
    <w:rsid w:val="00A30F85"/>
    <w:rsid w:val="00A31180"/>
    <w:rsid w:val="00A3536D"/>
    <w:rsid w:val="00A35597"/>
    <w:rsid w:val="00A36D43"/>
    <w:rsid w:val="00A37C6F"/>
    <w:rsid w:val="00A40FA8"/>
    <w:rsid w:val="00A429B1"/>
    <w:rsid w:val="00A434D7"/>
    <w:rsid w:val="00A44228"/>
    <w:rsid w:val="00A46E66"/>
    <w:rsid w:val="00A47509"/>
    <w:rsid w:val="00A47904"/>
    <w:rsid w:val="00A51EA4"/>
    <w:rsid w:val="00A52949"/>
    <w:rsid w:val="00A53F17"/>
    <w:rsid w:val="00A540DD"/>
    <w:rsid w:val="00A56427"/>
    <w:rsid w:val="00A57C4B"/>
    <w:rsid w:val="00A62713"/>
    <w:rsid w:val="00A637A0"/>
    <w:rsid w:val="00A63DE8"/>
    <w:rsid w:val="00A64937"/>
    <w:rsid w:val="00A6586E"/>
    <w:rsid w:val="00A65BF8"/>
    <w:rsid w:val="00A661AD"/>
    <w:rsid w:val="00A6639C"/>
    <w:rsid w:val="00A67395"/>
    <w:rsid w:val="00A70483"/>
    <w:rsid w:val="00A71B80"/>
    <w:rsid w:val="00A726EA"/>
    <w:rsid w:val="00A727FC"/>
    <w:rsid w:val="00A72950"/>
    <w:rsid w:val="00A72DCD"/>
    <w:rsid w:val="00A7336F"/>
    <w:rsid w:val="00A74174"/>
    <w:rsid w:val="00A744DD"/>
    <w:rsid w:val="00A7554B"/>
    <w:rsid w:val="00A7575D"/>
    <w:rsid w:val="00A75CC4"/>
    <w:rsid w:val="00A761C1"/>
    <w:rsid w:val="00A76DDC"/>
    <w:rsid w:val="00A774A8"/>
    <w:rsid w:val="00A80364"/>
    <w:rsid w:val="00A805CE"/>
    <w:rsid w:val="00A80993"/>
    <w:rsid w:val="00A80F2F"/>
    <w:rsid w:val="00A82356"/>
    <w:rsid w:val="00A839B2"/>
    <w:rsid w:val="00A841E6"/>
    <w:rsid w:val="00A86EF1"/>
    <w:rsid w:val="00A90194"/>
    <w:rsid w:val="00A91D2A"/>
    <w:rsid w:val="00A9224D"/>
    <w:rsid w:val="00A92537"/>
    <w:rsid w:val="00A94C93"/>
    <w:rsid w:val="00A963D7"/>
    <w:rsid w:val="00AA0237"/>
    <w:rsid w:val="00AA1F7A"/>
    <w:rsid w:val="00AA3223"/>
    <w:rsid w:val="00AA32DC"/>
    <w:rsid w:val="00AA3888"/>
    <w:rsid w:val="00AA5170"/>
    <w:rsid w:val="00AA76C5"/>
    <w:rsid w:val="00AB0E51"/>
    <w:rsid w:val="00AB1814"/>
    <w:rsid w:val="00AB2EAD"/>
    <w:rsid w:val="00AB58C8"/>
    <w:rsid w:val="00AC248B"/>
    <w:rsid w:val="00AC486B"/>
    <w:rsid w:val="00AC4C59"/>
    <w:rsid w:val="00AC6A2B"/>
    <w:rsid w:val="00AD049C"/>
    <w:rsid w:val="00AD1AFD"/>
    <w:rsid w:val="00AD1DE2"/>
    <w:rsid w:val="00AD3AA4"/>
    <w:rsid w:val="00AD4149"/>
    <w:rsid w:val="00AE2779"/>
    <w:rsid w:val="00AE30F5"/>
    <w:rsid w:val="00AE3306"/>
    <w:rsid w:val="00AE3925"/>
    <w:rsid w:val="00AE3E73"/>
    <w:rsid w:val="00AE4E60"/>
    <w:rsid w:val="00AE5F43"/>
    <w:rsid w:val="00AE6AD4"/>
    <w:rsid w:val="00AE6EB0"/>
    <w:rsid w:val="00AE7107"/>
    <w:rsid w:val="00AE741F"/>
    <w:rsid w:val="00AE773C"/>
    <w:rsid w:val="00AF0B9A"/>
    <w:rsid w:val="00AF19F7"/>
    <w:rsid w:val="00AF1DAE"/>
    <w:rsid w:val="00AF2C97"/>
    <w:rsid w:val="00AF3F0C"/>
    <w:rsid w:val="00AF47E0"/>
    <w:rsid w:val="00AF687F"/>
    <w:rsid w:val="00AF7DB5"/>
    <w:rsid w:val="00B00F9E"/>
    <w:rsid w:val="00B03104"/>
    <w:rsid w:val="00B03A4C"/>
    <w:rsid w:val="00B03BFC"/>
    <w:rsid w:val="00B03DBC"/>
    <w:rsid w:val="00B050B2"/>
    <w:rsid w:val="00B05A07"/>
    <w:rsid w:val="00B05BF6"/>
    <w:rsid w:val="00B063EF"/>
    <w:rsid w:val="00B07C26"/>
    <w:rsid w:val="00B10AF5"/>
    <w:rsid w:val="00B11505"/>
    <w:rsid w:val="00B12838"/>
    <w:rsid w:val="00B13348"/>
    <w:rsid w:val="00B14355"/>
    <w:rsid w:val="00B15AC3"/>
    <w:rsid w:val="00B15D28"/>
    <w:rsid w:val="00B16E8C"/>
    <w:rsid w:val="00B2165E"/>
    <w:rsid w:val="00B21E28"/>
    <w:rsid w:val="00B2258B"/>
    <w:rsid w:val="00B228DB"/>
    <w:rsid w:val="00B22D89"/>
    <w:rsid w:val="00B23CA5"/>
    <w:rsid w:val="00B244C4"/>
    <w:rsid w:val="00B248AE"/>
    <w:rsid w:val="00B26295"/>
    <w:rsid w:val="00B2708F"/>
    <w:rsid w:val="00B27EDA"/>
    <w:rsid w:val="00B3028D"/>
    <w:rsid w:val="00B30526"/>
    <w:rsid w:val="00B33BC4"/>
    <w:rsid w:val="00B3445C"/>
    <w:rsid w:val="00B34838"/>
    <w:rsid w:val="00B35315"/>
    <w:rsid w:val="00B36A75"/>
    <w:rsid w:val="00B40A58"/>
    <w:rsid w:val="00B40FB0"/>
    <w:rsid w:val="00B41FAB"/>
    <w:rsid w:val="00B425ED"/>
    <w:rsid w:val="00B42D5E"/>
    <w:rsid w:val="00B4328B"/>
    <w:rsid w:val="00B445F4"/>
    <w:rsid w:val="00B45F52"/>
    <w:rsid w:val="00B477A1"/>
    <w:rsid w:val="00B50FDC"/>
    <w:rsid w:val="00B51E90"/>
    <w:rsid w:val="00B570EE"/>
    <w:rsid w:val="00B571B8"/>
    <w:rsid w:val="00B57787"/>
    <w:rsid w:val="00B57A78"/>
    <w:rsid w:val="00B57E85"/>
    <w:rsid w:val="00B607B4"/>
    <w:rsid w:val="00B63FB8"/>
    <w:rsid w:val="00B65A87"/>
    <w:rsid w:val="00B66BBC"/>
    <w:rsid w:val="00B6727E"/>
    <w:rsid w:val="00B6780A"/>
    <w:rsid w:val="00B67F63"/>
    <w:rsid w:val="00B70667"/>
    <w:rsid w:val="00B73A71"/>
    <w:rsid w:val="00B741CD"/>
    <w:rsid w:val="00B74E09"/>
    <w:rsid w:val="00B817C2"/>
    <w:rsid w:val="00B81C70"/>
    <w:rsid w:val="00B822FA"/>
    <w:rsid w:val="00B84259"/>
    <w:rsid w:val="00B84505"/>
    <w:rsid w:val="00B84EEA"/>
    <w:rsid w:val="00B8503F"/>
    <w:rsid w:val="00B856B9"/>
    <w:rsid w:val="00B87A82"/>
    <w:rsid w:val="00B9029E"/>
    <w:rsid w:val="00B90391"/>
    <w:rsid w:val="00B90767"/>
    <w:rsid w:val="00B90C09"/>
    <w:rsid w:val="00B913F4"/>
    <w:rsid w:val="00B94212"/>
    <w:rsid w:val="00B9713D"/>
    <w:rsid w:val="00B97E54"/>
    <w:rsid w:val="00BA0611"/>
    <w:rsid w:val="00BA0935"/>
    <w:rsid w:val="00BA2B28"/>
    <w:rsid w:val="00BA3008"/>
    <w:rsid w:val="00BA4714"/>
    <w:rsid w:val="00BA58F6"/>
    <w:rsid w:val="00BB040B"/>
    <w:rsid w:val="00BB17E2"/>
    <w:rsid w:val="00BB45CD"/>
    <w:rsid w:val="00BB48BA"/>
    <w:rsid w:val="00BB4EC4"/>
    <w:rsid w:val="00BB5324"/>
    <w:rsid w:val="00BB5B0D"/>
    <w:rsid w:val="00BB60DB"/>
    <w:rsid w:val="00BB63DD"/>
    <w:rsid w:val="00BB7441"/>
    <w:rsid w:val="00BB7855"/>
    <w:rsid w:val="00BB7FBB"/>
    <w:rsid w:val="00BC0ED4"/>
    <w:rsid w:val="00BC15EA"/>
    <w:rsid w:val="00BC17E7"/>
    <w:rsid w:val="00BC183D"/>
    <w:rsid w:val="00BC4E30"/>
    <w:rsid w:val="00BC4EBE"/>
    <w:rsid w:val="00BC522A"/>
    <w:rsid w:val="00BC625E"/>
    <w:rsid w:val="00BC6E6B"/>
    <w:rsid w:val="00BC719C"/>
    <w:rsid w:val="00BC7756"/>
    <w:rsid w:val="00BC7EEA"/>
    <w:rsid w:val="00BD0AEB"/>
    <w:rsid w:val="00BD0F04"/>
    <w:rsid w:val="00BD19D6"/>
    <w:rsid w:val="00BD2997"/>
    <w:rsid w:val="00BD6829"/>
    <w:rsid w:val="00BD7460"/>
    <w:rsid w:val="00BD77F4"/>
    <w:rsid w:val="00BD7F8A"/>
    <w:rsid w:val="00BE1B0E"/>
    <w:rsid w:val="00BE2578"/>
    <w:rsid w:val="00BE2FA1"/>
    <w:rsid w:val="00BE3774"/>
    <w:rsid w:val="00BE3B3C"/>
    <w:rsid w:val="00BE4695"/>
    <w:rsid w:val="00BF0831"/>
    <w:rsid w:val="00BF11BB"/>
    <w:rsid w:val="00BF3684"/>
    <w:rsid w:val="00BF50E9"/>
    <w:rsid w:val="00BF559C"/>
    <w:rsid w:val="00BF5C2F"/>
    <w:rsid w:val="00C00705"/>
    <w:rsid w:val="00C021F2"/>
    <w:rsid w:val="00C03213"/>
    <w:rsid w:val="00C03771"/>
    <w:rsid w:val="00C068F6"/>
    <w:rsid w:val="00C1034C"/>
    <w:rsid w:val="00C1052B"/>
    <w:rsid w:val="00C11B78"/>
    <w:rsid w:val="00C21E70"/>
    <w:rsid w:val="00C237E1"/>
    <w:rsid w:val="00C23ADC"/>
    <w:rsid w:val="00C23CC3"/>
    <w:rsid w:val="00C240A6"/>
    <w:rsid w:val="00C2442F"/>
    <w:rsid w:val="00C317D0"/>
    <w:rsid w:val="00C335C3"/>
    <w:rsid w:val="00C339E6"/>
    <w:rsid w:val="00C34A1D"/>
    <w:rsid w:val="00C34C40"/>
    <w:rsid w:val="00C3547C"/>
    <w:rsid w:val="00C36A1C"/>
    <w:rsid w:val="00C37DF8"/>
    <w:rsid w:val="00C40E7F"/>
    <w:rsid w:val="00C43009"/>
    <w:rsid w:val="00C43A5F"/>
    <w:rsid w:val="00C45FD5"/>
    <w:rsid w:val="00C46FC9"/>
    <w:rsid w:val="00C4786C"/>
    <w:rsid w:val="00C47DDB"/>
    <w:rsid w:val="00C509D2"/>
    <w:rsid w:val="00C51324"/>
    <w:rsid w:val="00C52382"/>
    <w:rsid w:val="00C53D42"/>
    <w:rsid w:val="00C53E21"/>
    <w:rsid w:val="00C556CE"/>
    <w:rsid w:val="00C566EB"/>
    <w:rsid w:val="00C572B3"/>
    <w:rsid w:val="00C57753"/>
    <w:rsid w:val="00C5779A"/>
    <w:rsid w:val="00C57B4C"/>
    <w:rsid w:val="00C60E8A"/>
    <w:rsid w:val="00C61186"/>
    <w:rsid w:val="00C617BB"/>
    <w:rsid w:val="00C619BC"/>
    <w:rsid w:val="00C61A7A"/>
    <w:rsid w:val="00C62B92"/>
    <w:rsid w:val="00C6325B"/>
    <w:rsid w:val="00C64231"/>
    <w:rsid w:val="00C64850"/>
    <w:rsid w:val="00C65011"/>
    <w:rsid w:val="00C6634D"/>
    <w:rsid w:val="00C704BB"/>
    <w:rsid w:val="00C718FC"/>
    <w:rsid w:val="00C73DAA"/>
    <w:rsid w:val="00C74C4F"/>
    <w:rsid w:val="00C74ECC"/>
    <w:rsid w:val="00C74F03"/>
    <w:rsid w:val="00C75F99"/>
    <w:rsid w:val="00C76E6D"/>
    <w:rsid w:val="00C77F32"/>
    <w:rsid w:val="00C80AB6"/>
    <w:rsid w:val="00C81085"/>
    <w:rsid w:val="00C81352"/>
    <w:rsid w:val="00C842D5"/>
    <w:rsid w:val="00C846A8"/>
    <w:rsid w:val="00C859A0"/>
    <w:rsid w:val="00C861B3"/>
    <w:rsid w:val="00C87EC3"/>
    <w:rsid w:val="00C91B6D"/>
    <w:rsid w:val="00C92A5C"/>
    <w:rsid w:val="00C92DD2"/>
    <w:rsid w:val="00C935D3"/>
    <w:rsid w:val="00C9379E"/>
    <w:rsid w:val="00C975F6"/>
    <w:rsid w:val="00CA4CB5"/>
    <w:rsid w:val="00CA4FB9"/>
    <w:rsid w:val="00CA6518"/>
    <w:rsid w:val="00CB0C08"/>
    <w:rsid w:val="00CB0DAA"/>
    <w:rsid w:val="00CB27BD"/>
    <w:rsid w:val="00CB319A"/>
    <w:rsid w:val="00CB44EF"/>
    <w:rsid w:val="00CB7261"/>
    <w:rsid w:val="00CC074E"/>
    <w:rsid w:val="00CC0CB4"/>
    <w:rsid w:val="00CC2FB9"/>
    <w:rsid w:val="00CC3498"/>
    <w:rsid w:val="00CC3AB1"/>
    <w:rsid w:val="00CC4D21"/>
    <w:rsid w:val="00CC57D1"/>
    <w:rsid w:val="00CC5CEB"/>
    <w:rsid w:val="00CC64DF"/>
    <w:rsid w:val="00CC6E3A"/>
    <w:rsid w:val="00CD0732"/>
    <w:rsid w:val="00CD1362"/>
    <w:rsid w:val="00CD332F"/>
    <w:rsid w:val="00CD3D1A"/>
    <w:rsid w:val="00CD5551"/>
    <w:rsid w:val="00CD670D"/>
    <w:rsid w:val="00CE0B0D"/>
    <w:rsid w:val="00CE0C69"/>
    <w:rsid w:val="00CE0F2C"/>
    <w:rsid w:val="00CE2AD0"/>
    <w:rsid w:val="00CE62A0"/>
    <w:rsid w:val="00CF073E"/>
    <w:rsid w:val="00CF0884"/>
    <w:rsid w:val="00CF0FE3"/>
    <w:rsid w:val="00CF10FE"/>
    <w:rsid w:val="00CF2094"/>
    <w:rsid w:val="00CF272D"/>
    <w:rsid w:val="00CF3890"/>
    <w:rsid w:val="00CF4BE1"/>
    <w:rsid w:val="00CF4F68"/>
    <w:rsid w:val="00CF5475"/>
    <w:rsid w:val="00CF5986"/>
    <w:rsid w:val="00CF5A4B"/>
    <w:rsid w:val="00CF6610"/>
    <w:rsid w:val="00CF7287"/>
    <w:rsid w:val="00CF766B"/>
    <w:rsid w:val="00D02242"/>
    <w:rsid w:val="00D03DFC"/>
    <w:rsid w:val="00D10231"/>
    <w:rsid w:val="00D10DA3"/>
    <w:rsid w:val="00D12722"/>
    <w:rsid w:val="00D1540C"/>
    <w:rsid w:val="00D15F7E"/>
    <w:rsid w:val="00D16E26"/>
    <w:rsid w:val="00D17293"/>
    <w:rsid w:val="00D20FDC"/>
    <w:rsid w:val="00D214E1"/>
    <w:rsid w:val="00D217C2"/>
    <w:rsid w:val="00D22632"/>
    <w:rsid w:val="00D253F6"/>
    <w:rsid w:val="00D26AB7"/>
    <w:rsid w:val="00D26D78"/>
    <w:rsid w:val="00D27132"/>
    <w:rsid w:val="00D3037C"/>
    <w:rsid w:val="00D309BC"/>
    <w:rsid w:val="00D30AB0"/>
    <w:rsid w:val="00D352C1"/>
    <w:rsid w:val="00D365D2"/>
    <w:rsid w:val="00D4008B"/>
    <w:rsid w:val="00D43648"/>
    <w:rsid w:val="00D44DBA"/>
    <w:rsid w:val="00D45B6F"/>
    <w:rsid w:val="00D45C4C"/>
    <w:rsid w:val="00D46599"/>
    <w:rsid w:val="00D46A66"/>
    <w:rsid w:val="00D50142"/>
    <w:rsid w:val="00D501CF"/>
    <w:rsid w:val="00D50835"/>
    <w:rsid w:val="00D50D39"/>
    <w:rsid w:val="00D5189B"/>
    <w:rsid w:val="00D54657"/>
    <w:rsid w:val="00D54806"/>
    <w:rsid w:val="00D55BF1"/>
    <w:rsid w:val="00D62E76"/>
    <w:rsid w:val="00D6535B"/>
    <w:rsid w:val="00D665EC"/>
    <w:rsid w:val="00D66BDE"/>
    <w:rsid w:val="00D670A8"/>
    <w:rsid w:val="00D673C5"/>
    <w:rsid w:val="00D67570"/>
    <w:rsid w:val="00D73035"/>
    <w:rsid w:val="00D73A91"/>
    <w:rsid w:val="00D742AD"/>
    <w:rsid w:val="00D7457A"/>
    <w:rsid w:val="00D747CA"/>
    <w:rsid w:val="00D74CF3"/>
    <w:rsid w:val="00D7565D"/>
    <w:rsid w:val="00D756CA"/>
    <w:rsid w:val="00D76347"/>
    <w:rsid w:val="00D77E6B"/>
    <w:rsid w:val="00D808E8"/>
    <w:rsid w:val="00D81027"/>
    <w:rsid w:val="00D81672"/>
    <w:rsid w:val="00D81741"/>
    <w:rsid w:val="00D82FBD"/>
    <w:rsid w:val="00D8325A"/>
    <w:rsid w:val="00D83D4B"/>
    <w:rsid w:val="00D84045"/>
    <w:rsid w:val="00D84A9D"/>
    <w:rsid w:val="00D85232"/>
    <w:rsid w:val="00D860FD"/>
    <w:rsid w:val="00D90541"/>
    <w:rsid w:val="00D905B7"/>
    <w:rsid w:val="00D909E7"/>
    <w:rsid w:val="00D91D62"/>
    <w:rsid w:val="00D924D6"/>
    <w:rsid w:val="00D92DFA"/>
    <w:rsid w:val="00D94223"/>
    <w:rsid w:val="00D94AD8"/>
    <w:rsid w:val="00D9514F"/>
    <w:rsid w:val="00D95EC5"/>
    <w:rsid w:val="00D966D3"/>
    <w:rsid w:val="00D96B57"/>
    <w:rsid w:val="00D97232"/>
    <w:rsid w:val="00D977C1"/>
    <w:rsid w:val="00DA69D9"/>
    <w:rsid w:val="00DB012A"/>
    <w:rsid w:val="00DC2E0D"/>
    <w:rsid w:val="00DC4EC3"/>
    <w:rsid w:val="00DC62EB"/>
    <w:rsid w:val="00DC753C"/>
    <w:rsid w:val="00DD1901"/>
    <w:rsid w:val="00DD22E2"/>
    <w:rsid w:val="00DD290E"/>
    <w:rsid w:val="00DD3640"/>
    <w:rsid w:val="00DD469C"/>
    <w:rsid w:val="00DD60AF"/>
    <w:rsid w:val="00DD6400"/>
    <w:rsid w:val="00DD7CB3"/>
    <w:rsid w:val="00DE0397"/>
    <w:rsid w:val="00DE0788"/>
    <w:rsid w:val="00DE0ED5"/>
    <w:rsid w:val="00DE2F77"/>
    <w:rsid w:val="00DE363D"/>
    <w:rsid w:val="00DE484A"/>
    <w:rsid w:val="00DE515B"/>
    <w:rsid w:val="00DE7361"/>
    <w:rsid w:val="00DE7D8C"/>
    <w:rsid w:val="00DE7E1D"/>
    <w:rsid w:val="00DF0F13"/>
    <w:rsid w:val="00DF190C"/>
    <w:rsid w:val="00DF3BAC"/>
    <w:rsid w:val="00DF3F86"/>
    <w:rsid w:val="00DF56A3"/>
    <w:rsid w:val="00DF602C"/>
    <w:rsid w:val="00DF6604"/>
    <w:rsid w:val="00DF6EB1"/>
    <w:rsid w:val="00E01BCF"/>
    <w:rsid w:val="00E01DA6"/>
    <w:rsid w:val="00E03D2A"/>
    <w:rsid w:val="00E043FE"/>
    <w:rsid w:val="00E044AD"/>
    <w:rsid w:val="00E04511"/>
    <w:rsid w:val="00E04BAF"/>
    <w:rsid w:val="00E102AA"/>
    <w:rsid w:val="00E10413"/>
    <w:rsid w:val="00E11EFE"/>
    <w:rsid w:val="00E126D3"/>
    <w:rsid w:val="00E1288C"/>
    <w:rsid w:val="00E1396B"/>
    <w:rsid w:val="00E143A4"/>
    <w:rsid w:val="00E2119D"/>
    <w:rsid w:val="00E22168"/>
    <w:rsid w:val="00E22696"/>
    <w:rsid w:val="00E22934"/>
    <w:rsid w:val="00E23539"/>
    <w:rsid w:val="00E245DC"/>
    <w:rsid w:val="00E24DC1"/>
    <w:rsid w:val="00E26E00"/>
    <w:rsid w:val="00E27548"/>
    <w:rsid w:val="00E27903"/>
    <w:rsid w:val="00E279BE"/>
    <w:rsid w:val="00E300BD"/>
    <w:rsid w:val="00E300F1"/>
    <w:rsid w:val="00E31060"/>
    <w:rsid w:val="00E315D9"/>
    <w:rsid w:val="00E32054"/>
    <w:rsid w:val="00E32241"/>
    <w:rsid w:val="00E339B2"/>
    <w:rsid w:val="00E33B2E"/>
    <w:rsid w:val="00E346EC"/>
    <w:rsid w:val="00E35633"/>
    <w:rsid w:val="00E366B2"/>
    <w:rsid w:val="00E377EF"/>
    <w:rsid w:val="00E37E8B"/>
    <w:rsid w:val="00E407FE"/>
    <w:rsid w:val="00E4199D"/>
    <w:rsid w:val="00E440DA"/>
    <w:rsid w:val="00E4479F"/>
    <w:rsid w:val="00E44ECB"/>
    <w:rsid w:val="00E466E8"/>
    <w:rsid w:val="00E470E6"/>
    <w:rsid w:val="00E50789"/>
    <w:rsid w:val="00E50FFB"/>
    <w:rsid w:val="00E54105"/>
    <w:rsid w:val="00E548AC"/>
    <w:rsid w:val="00E554ED"/>
    <w:rsid w:val="00E55B3F"/>
    <w:rsid w:val="00E56540"/>
    <w:rsid w:val="00E63439"/>
    <w:rsid w:val="00E63E3D"/>
    <w:rsid w:val="00E65220"/>
    <w:rsid w:val="00E6741C"/>
    <w:rsid w:val="00E701CF"/>
    <w:rsid w:val="00E70A4D"/>
    <w:rsid w:val="00E71997"/>
    <w:rsid w:val="00E721E6"/>
    <w:rsid w:val="00E7226B"/>
    <w:rsid w:val="00E73564"/>
    <w:rsid w:val="00E73EC1"/>
    <w:rsid w:val="00E800A4"/>
    <w:rsid w:val="00E80BFC"/>
    <w:rsid w:val="00E80DC7"/>
    <w:rsid w:val="00E82983"/>
    <w:rsid w:val="00E85A90"/>
    <w:rsid w:val="00E85B0C"/>
    <w:rsid w:val="00E87CFE"/>
    <w:rsid w:val="00E9048B"/>
    <w:rsid w:val="00E90E5E"/>
    <w:rsid w:val="00E91CA6"/>
    <w:rsid w:val="00E93E70"/>
    <w:rsid w:val="00E94858"/>
    <w:rsid w:val="00E94E97"/>
    <w:rsid w:val="00E94EB4"/>
    <w:rsid w:val="00E97DAF"/>
    <w:rsid w:val="00EA232D"/>
    <w:rsid w:val="00EA37BB"/>
    <w:rsid w:val="00EA45F2"/>
    <w:rsid w:val="00EA4937"/>
    <w:rsid w:val="00EA7BDA"/>
    <w:rsid w:val="00EB2A93"/>
    <w:rsid w:val="00EB3BBC"/>
    <w:rsid w:val="00EB45FF"/>
    <w:rsid w:val="00EB7CCB"/>
    <w:rsid w:val="00EC0430"/>
    <w:rsid w:val="00EC19DB"/>
    <w:rsid w:val="00EC2440"/>
    <w:rsid w:val="00EC35CE"/>
    <w:rsid w:val="00EC3614"/>
    <w:rsid w:val="00EC3CED"/>
    <w:rsid w:val="00EC6CFE"/>
    <w:rsid w:val="00EC7145"/>
    <w:rsid w:val="00ED0A8E"/>
    <w:rsid w:val="00ED1495"/>
    <w:rsid w:val="00ED16A9"/>
    <w:rsid w:val="00ED2C9E"/>
    <w:rsid w:val="00ED2DD9"/>
    <w:rsid w:val="00ED5D64"/>
    <w:rsid w:val="00ED5F96"/>
    <w:rsid w:val="00ED6EE0"/>
    <w:rsid w:val="00ED71D6"/>
    <w:rsid w:val="00ED76EF"/>
    <w:rsid w:val="00ED77DF"/>
    <w:rsid w:val="00EE131E"/>
    <w:rsid w:val="00EE4BA3"/>
    <w:rsid w:val="00EE4E01"/>
    <w:rsid w:val="00EE6BF1"/>
    <w:rsid w:val="00EF0E6F"/>
    <w:rsid w:val="00EF143B"/>
    <w:rsid w:val="00EF1A63"/>
    <w:rsid w:val="00EF6A1B"/>
    <w:rsid w:val="00EF733E"/>
    <w:rsid w:val="00F04436"/>
    <w:rsid w:val="00F04AEF"/>
    <w:rsid w:val="00F04CEC"/>
    <w:rsid w:val="00F053B0"/>
    <w:rsid w:val="00F0608C"/>
    <w:rsid w:val="00F06E3A"/>
    <w:rsid w:val="00F07C4F"/>
    <w:rsid w:val="00F07CB4"/>
    <w:rsid w:val="00F10BBA"/>
    <w:rsid w:val="00F1257A"/>
    <w:rsid w:val="00F12A95"/>
    <w:rsid w:val="00F13B42"/>
    <w:rsid w:val="00F14243"/>
    <w:rsid w:val="00F155B2"/>
    <w:rsid w:val="00F20A9F"/>
    <w:rsid w:val="00F2264B"/>
    <w:rsid w:val="00F2267E"/>
    <w:rsid w:val="00F22811"/>
    <w:rsid w:val="00F22BCF"/>
    <w:rsid w:val="00F232AB"/>
    <w:rsid w:val="00F232CD"/>
    <w:rsid w:val="00F3137C"/>
    <w:rsid w:val="00F32A8A"/>
    <w:rsid w:val="00F3317B"/>
    <w:rsid w:val="00F338AD"/>
    <w:rsid w:val="00F338D2"/>
    <w:rsid w:val="00F33D84"/>
    <w:rsid w:val="00F35B7A"/>
    <w:rsid w:val="00F37988"/>
    <w:rsid w:val="00F40042"/>
    <w:rsid w:val="00F4009E"/>
    <w:rsid w:val="00F4075E"/>
    <w:rsid w:val="00F42A1A"/>
    <w:rsid w:val="00F4401D"/>
    <w:rsid w:val="00F44294"/>
    <w:rsid w:val="00F4430B"/>
    <w:rsid w:val="00F4521F"/>
    <w:rsid w:val="00F45251"/>
    <w:rsid w:val="00F45A03"/>
    <w:rsid w:val="00F45A80"/>
    <w:rsid w:val="00F46AB7"/>
    <w:rsid w:val="00F47B18"/>
    <w:rsid w:val="00F50F74"/>
    <w:rsid w:val="00F5256D"/>
    <w:rsid w:val="00F528B9"/>
    <w:rsid w:val="00F54580"/>
    <w:rsid w:val="00F5625E"/>
    <w:rsid w:val="00F57D71"/>
    <w:rsid w:val="00F62043"/>
    <w:rsid w:val="00F63801"/>
    <w:rsid w:val="00F6698B"/>
    <w:rsid w:val="00F67B7A"/>
    <w:rsid w:val="00F71189"/>
    <w:rsid w:val="00F724C4"/>
    <w:rsid w:val="00F756CC"/>
    <w:rsid w:val="00F75B2D"/>
    <w:rsid w:val="00F76FA1"/>
    <w:rsid w:val="00F85EFB"/>
    <w:rsid w:val="00F872E1"/>
    <w:rsid w:val="00F87536"/>
    <w:rsid w:val="00F9048A"/>
    <w:rsid w:val="00F90B3B"/>
    <w:rsid w:val="00F9126A"/>
    <w:rsid w:val="00F91787"/>
    <w:rsid w:val="00F919F4"/>
    <w:rsid w:val="00F92113"/>
    <w:rsid w:val="00F92F2A"/>
    <w:rsid w:val="00F9334A"/>
    <w:rsid w:val="00F96E1B"/>
    <w:rsid w:val="00F97E48"/>
    <w:rsid w:val="00FA0548"/>
    <w:rsid w:val="00FA1106"/>
    <w:rsid w:val="00FA11B8"/>
    <w:rsid w:val="00FA3287"/>
    <w:rsid w:val="00FA59AD"/>
    <w:rsid w:val="00FA633D"/>
    <w:rsid w:val="00FB0576"/>
    <w:rsid w:val="00FB1039"/>
    <w:rsid w:val="00FB14F1"/>
    <w:rsid w:val="00FB1CEE"/>
    <w:rsid w:val="00FB20B5"/>
    <w:rsid w:val="00FB2EFA"/>
    <w:rsid w:val="00FB4EE5"/>
    <w:rsid w:val="00FB5E07"/>
    <w:rsid w:val="00FB7D5D"/>
    <w:rsid w:val="00FC0333"/>
    <w:rsid w:val="00FC321F"/>
    <w:rsid w:val="00FC3F6E"/>
    <w:rsid w:val="00FC4A5D"/>
    <w:rsid w:val="00FC6AA1"/>
    <w:rsid w:val="00FC6B9D"/>
    <w:rsid w:val="00FC6E14"/>
    <w:rsid w:val="00FD07F9"/>
    <w:rsid w:val="00FD0924"/>
    <w:rsid w:val="00FD2610"/>
    <w:rsid w:val="00FD2938"/>
    <w:rsid w:val="00FD30FB"/>
    <w:rsid w:val="00FD658E"/>
    <w:rsid w:val="00FE0AF2"/>
    <w:rsid w:val="00FE12EC"/>
    <w:rsid w:val="00FE1DFA"/>
    <w:rsid w:val="00FE2476"/>
    <w:rsid w:val="00FE28D9"/>
    <w:rsid w:val="00FE5C4A"/>
    <w:rsid w:val="00FE7277"/>
    <w:rsid w:val="00FF07CB"/>
    <w:rsid w:val="00FF24E2"/>
    <w:rsid w:val="00FF3B7E"/>
    <w:rsid w:val="00FF47CF"/>
    <w:rsid w:val="00FF69A9"/>
    <w:rsid w:val="00FF76C8"/>
    <w:rsid w:val="00FF7A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1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0F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0F74"/>
    <w:rPr>
      <w:sz w:val="18"/>
      <w:szCs w:val="18"/>
    </w:rPr>
  </w:style>
  <w:style w:type="paragraph" w:styleId="a4">
    <w:name w:val="footer"/>
    <w:basedOn w:val="a"/>
    <w:link w:val="Char0"/>
    <w:uiPriority w:val="99"/>
    <w:semiHidden/>
    <w:unhideWhenUsed/>
    <w:rsid w:val="00F50F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0F74"/>
    <w:rPr>
      <w:sz w:val="18"/>
      <w:szCs w:val="18"/>
    </w:rPr>
  </w:style>
  <w:style w:type="paragraph" w:styleId="a5">
    <w:name w:val="Normal (Web)"/>
    <w:basedOn w:val="a"/>
    <w:uiPriority w:val="99"/>
    <w:semiHidden/>
    <w:unhideWhenUsed/>
    <w:rsid w:val="00F50F7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50F74"/>
    <w:rPr>
      <w:b/>
      <w:bCs/>
    </w:rPr>
  </w:style>
</w:styles>
</file>

<file path=word/webSettings.xml><?xml version="1.0" encoding="utf-8"?>
<w:webSettings xmlns:r="http://schemas.openxmlformats.org/officeDocument/2006/relationships" xmlns:w="http://schemas.openxmlformats.org/wordprocessingml/2006/main">
  <w:divs>
    <w:div w:id="9707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B5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1402</Words>
  <Characters>7998</Characters>
  <Application>Microsoft Office Word</Application>
  <DocSecurity>0</DocSecurity>
  <Lines>66</Lines>
  <Paragraphs>18</Paragraphs>
  <ScaleCrop>false</ScaleCrop>
  <Company>Microsoft</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2019-11-01T03:02:00Z</dcterms:created>
  <dcterms:modified xsi:type="dcterms:W3CDTF">2019-11-01T03:03:00Z</dcterms:modified>
</cp:coreProperties>
</file>